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EA0F" w14:textId="77777777" w:rsidR="008F440A" w:rsidRDefault="008F440A">
      <w:pPr>
        <w:spacing w:after="209" w:line="259" w:lineRule="auto"/>
        <w:ind w:left="0" w:right="0" w:firstLine="0"/>
        <w:jc w:val="left"/>
        <w:rPr>
          <w:b/>
        </w:rPr>
      </w:pPr>
    </w:p>
    <w:p w14:paraId="622BB896" w14:textId="77777777" w:rsidR="008F440A" w:rsidRDefault="008F440A">
      <w:pPr>
        <w:spacing w:after="209" w:line="259" w:lineRule="auto"/>
        <w:ind w:left="0" w:right="0" w:firstLine="0"/>
        <w:jc w:val="left"/>
        <w:rPr>
          <w:b/>
        </w:rPr>
      </w:pPr>
    </w:p>
    <w:p w14:paraId="7C065FB0" w14:textId="434A79A8" w:rsidR="007F21D2" w:rsidRPr="00395449" w:rsidRDefault="00C71D8C" w:rsidP="00C02217">
      <w:pPr>
        <w:jc w:val="left"/>
        <w:rPr>
          <w:rFonts w:ascii="Arial" w:hAnsi="Arial" w:cs="Arial"/>
          <w:b/>
          <w:sz w:val="24"/>
          <w:szCs w:val="24"/>
        </w:rPr>
      </w:pPr>
      <w:r>
        <w:rPr>
          <w:rFonts w:ascii="Arial" w:hAnsi="Arial" w:cs="Arial"/>
          <w:b/>
          <w:sz w:val="24"/>
          <w:szCs w:val="24"/>
        </w:rPr>
        <w:t>R</w:t>
      </w:r>
      <w:r w:rsidR="007F21D2" w:rsidRPr="00395449">
        <w:rPr>
          <w:rFonts w:ascii="Arial" w:hAnsi="Arial" w:cs="Arial"/>
          <w:b/>
          <w:sz w:val="24"/>
          <w:szCs w:val="24"/>
        </w:rPr>
        <w:t xml:space="preserve">iktlinjer för ersättning till ledande befattningshavare </w:t>
      </w:r>
    </w:p>
    <w:p w14:paraId="75B70D18" w14:textId="0A7E5AEB" w:rsidR="00621597" w:rsidRDefault="00621597">
      <w:pPr>
        <w:spacing w:after="209" w:line="259" w:lineRule="auto"/>
        <w:ind w:left="0" w:right="0" w:firstLine="0"/>
        <w:jc w:val="left"/>
        <w:rPr>
          <w:b/>
        </w:rPr>
      </w:pPr>
    </w:p>
    <w:p w14:paraId="00FDEA5C" w14:textId="01682089" w:rsidR="004A4B1E" w:rsidRDefault="000F2D82" w:rsidP="00243E27">
      <w:pPr>
        <w:ind w:left="-5" w:right="0"/>
        <w:rPr>
          <w:rFonts w:ascii="Arial" w:hAnsi="Arial" w:cs="Arial"/>
          <w:sz w:val="19"/>
          <w:szCs w:val="19"/>
        </w:rPr>
      </w:pPr>
      <w:r w:rsidRPr="000F2D82">
        <w:rPr>
          <w:rFonts w:ascii="Arial" w:hAnsi="Arial" w:cs="Arial"/>
          <w:sz w:val="19"/>
          <w:szCs w:val="19"/>
        </w:rPr>
        <w:t xml:space="preserve">Styrelsen </w:t>
      </w:r>
      <w:r w:rsidR="00C71D8C">
        <w:rPr>
          <w:rFonts w:ascii="Arial" w:hAnsi="Arial" w:cs="Arial"/>
          <w:sz w:val="19"/>
          <w:szCs w:val="19"/>
        </w:rPr>
        <w:t xml:space="preserve">i </w:t>
      </w:r>
      <w:r w:rsidR="00C537FD">
        <w:rPr>
          <w:rFonts w:ascii="Arial" w:hAnsi="Arial" w:cs="Arial"/>
          <w:sz w:val="19"/>
          <w:szCs w:val="19"/>
        </w:rPr>
        <w:t>Norion</w:t>
      </w:r>
      <w:r w:rsidR="00C71D8C">
        <w:rPr>
          <w:rFonts w:ascii="Arial" w:hAnsi="Arial" w:cs="Arial"/>
          <w:sz w:val="19"/>
          <w:szCs w:val="19"/>
        </w:rPr>
        <w:t xml:space="preserve"> Bank AB </w:t>
      </w:r>
      <w:r w:rsidR="003263D9">
        <w:rPr>
          <w:rFonts w:ascii="Arial" w:hAnsi="Arial" w:cs="Arial"/>
          <w:sz w:val="19"/>
          <w:szCs w:val="19"/>
        </w:rPr>
        <w:t>(”Norion</w:t>
      </w:r>
      <w:r w:rsidR="00633C31">
        <w:rPr>
          <w:rFonts w:ascii="Arial" w:hAnsi="Arial" w:cs="Arial"/>
          <w:sz w:val="19"/>
          <w:szCs w:val="19"/>
        </w:rPr>
        <w:t xml:space="preserve"> Bank</w:t>
      </w:r>
      <w:r w:rsidR="003263D9">
        <w:rPr>
          <w:rFonts w:ascii="Arial" w:hAnsi="Arial" w:cs="Arial"/>
          <w:sz w:val="19"/>
          <w:szCs w:val="19"/>
        </w:rPr>
        <w:t xml:space="preserve">”) </w:t>
      </w:r>
      <w:r w:rsidRPr="000F2D82">
        <w:rPr>
          <w:rFonts w:ascii="Arial" w:hAnsi="Arial" w:cs="Arial"/>
          <w:sz w:val="19"/>
          <w:szCs w:val="19"/>
        </w:rPr>
        <w:t xml:space="preserve">föreslår att årsstämman fastställer följande riktlinjer för ersättning till ledande befattningshavare </w:t>
      </w:r>
      <w:r w:rsidR="00183611">
        <w:rPr>
          <w:rFonts w:ascii="Arial" w:hAnsi="Arial" w:cs="Arial"/>
          <w:sz w:val="19"/>
          <w:szCs w:val="19"/>
        </w:rPr>
        <w:t>i Norion</w:t>
      </w:r>
      <w:r w:rsidR="00633C31">
        <w:rPr>
          <w:rFonts w:ascii="Arial" w:hAnsi="Arial" w:cs="Arial"/>
          <w:sz w:val="19"/>
          <w:szCs w:val="19"/>
        </w:rPr>
        <w:t xml:space="preserve"> Bank</w:t>
      </w:r>
      <w:r w:rsidR="00183611">
        <w:rPr>
          <w:rFonts w:ascii="Arial" w:hAnsi="Arial" w:cs="Arial"/>
          <w:sz w:val="19"/>
          <w:szCs w:val="19"/>
        </w:rPr>
        <w:t xml:space="preserve"> </w:t>
      </w:r>
      <w:r w:rsidRPr="000F2D82">
        <w:rPr>
          <w:rFonts w:ascii="Arial" w:hAnsi="Arial" w:cs="Arial"/>
          <w:sz w:val="19"/>
          <w:szCs w:val="19"/>
        </w:rPr>
        <w:t>att gälla som längst till årsstämman 20</w:t>
      </w:r>
      <w:r w:rsidR="00824330">
        <w:rPr>
          <w:rFonts w:ascii="Arial" w:hAnsi="Arial" w:cs="Arial"/>
          <w:sz w:val="19"/>
          <w:szCs w:val="19"/>
        </w:rPr>
        <w:t>30</w:t>
      </w:r>
      <w:r w:rsidRPr="000F2D82">
        <w:rPr>
          <w:rFonts w:ascii="Arial" w:hAnsi="Arial" w:cs="Arial"/>
          <w:sz w:val="19"/>
          <w:szCs w:val="19"/>
        </w:rPr>
        <w:t>.</w:t>
      </w:r>
    </w:p>
    <w:p w14:paraId="2F3447FE" w14:textId="0E234557" w:rsidR="002B7ED8" w:rsidRDefault="003263D9" w:rsidP="00E97400">
      <w:pPr>
        <w:ind w:left="-5" w:right="0"/>
        <w:rPr>
          <w:rFonts w:ascii="Arial" w:hAnsi="Arial" w:cs="Arial"/>
          <w:sz w:val="19"/>
          <w:szCs w:val="19"/>
        </w:rPr>
      </w:pPr>
      <w:r w:rsidRPr="003263D9">
        <w:rPr>
          <w:rFonts w:ascii="Arial" w:hAnsi="Arial" w:cs="Arial"/>
          <w:sz w:val="19"/>
          <w:szCs w:val="19"/>
        </w:rPr>
        <w:t xml:space="preserve">Riktlinjerna ska endast gälla för Norion Bank och omfattar inte </w:t>
      </w:r>
      <w:r>
        <w:rPr>
          <w:rFonts w:ascii="Arial" w:hAnsi="Arial" w:cs="Arial"/>
          <w:sz w:val="19"/>
          <w:szCs w:val="19"/>
        </w:rPr>
        <w:t>Norion</w:t>
      </w:r>
      <w:r w:rsidR="00633C31">
        <w:rPr>
          <w:rFonts w:ascii="Arial" w:hAnsi="Arial" w:cs="Arial"/>
          <w:sz w:val="19"/>
          <w:szCs w:val="19"/>
        </w:rPr>
        <w:t xml:space="preserve"> Bank</w:t>
      </w:r>
      <w:r>
        <w:rPr>
          <w:rFonts w:ascii="Arial" w:hAnsi="Arial" w:cs="Arial"/>
          <w:sz w:val="19"/>
          <w:szCs w:val="19"/>
        </w:rPr>
        <w:t>s</w:t>
      </w:r>
      <w:r w:rsidRPr="003263D9">
        <w:rPr>
          <w:rFonts w:ascii="Arial" w:hAnsi="Arial" w:cs="Arial"/>
          <w:sz w:val="19"/>
          <w:szCs w:val="19"/>
        </w:rPr>
        <w:t xml:space="preserve"> dotterbolag. Respektive dotterbolag ska i stället </w:t>
      </w:r>
      <w:r w:rsidR="002E3E08">
        <w:rPr>
          <w:rFonts w:ascii="Arial" w:hAnsi="Arial" w:cs="Arial"/>
          <w:sz w:val="19"/>
          <w:szCs w:val="19"/>
        </w:rPr>
        <w:t>fastställa</w:t>
      </w:r>
      <w:r w:rsidRPr="003263D9">
        <w:rPr>
          <w:rFonts w:ascii="Arial" w:hAnsi="Arial" w:cs="Arial"/>
          <w:sz w:val="19"/>
          <w:szCs w:val="19"/>
        </w:rPr>
        <w:t xml:space="preserve"> egna motsvarande riktlinjer i enlighet med tillämpliga reg</w:t>
      </w:r>
      <w:r>
        <w:rPr>
          <w:rFonts w:ascii="Arial" w:hAnsi="Arial" w:cs="Arial"/>
          <w:sz w:val="19"/>
          <w:szCs w:val="19"/>
        </w:rPr>
        <w:t>elverk</w:t>
      </w:r>
      <w:r w:rsidRPr="003263D9">
        <w:rPr>
          <w:rFonts w:ascii="Arial" w:hAnsi="Arial" w:cs="Arial"/>
          <w:sz w:val="19"/>
          <w:szCs w:val="19"/>
        </w:rPr>
        <w:t>.</w:t>
      </w:r>
    </w:p>
    <w:p w14:paraId="41859723" w14:textId="77777777" w:rsidR="004A4B1E" w:rsidRPr="004A4B1E" w:rsidRDefault="004A4B1E" w:rsidP="004A4B1E">
      <w:pPr>
        <w:spacing w:after="209" w:line="256" w:lineRule="auto"/>
        <w:ind w:left="0" w:right="0" w:firstLine="0"/>
        <w:jc w:val="left"/>
        <w:rPr>
          <w:rFonts w:ascii="Arial" w:hAnsi="Arial" w:cs="Arial"/>
          <w:i/>
          <w:iCs/>
          <w:sz w:val="20"/>
          <w:szCs w:val="20"/>
        </w:rPr>
      </w:pPr>
      <w:r w:rsidRPr="004A4B1E">
        <w:rPr>
          <w:rFonts w:ascii="Arial" w:hAnsi="Arial" w:cs="Arial"/>
          <w:i/>
          <w:iCs/>
          <w:sz w:val="20"/>
          <w:szCs w:val="20"/>
        </w:rPr>
        <w:t xml:space="preserve">Tillämpliga regelverk </w:t>
      </w:r>
    </w:p>
    <w:p w14:paraId="3D03EDB6" w14:textId="29E7909F" w:rsidR="004A4B1E" w:rsidRPr="004A4B1E" w:rsidRDefault="004A4B1E" w:rsidP="004A4B1E">
      <w:pPr>
        <w:spacing w:line="268" w:lineRule="auto"/>
        <w:ind w:left="-5" w:right="0"/>
        <w:jc w:val="left"/>
        <w:rPr>
          <w:rFonts w:ascii="Arial" w:hAnsi="Arial" w:cs="Arial"/>
          <w:sz w:val="20"/>
          <w:szCs w:val="20"/>
        </w:rPr>
      </w:pPr>
      <w:r w:rsidRPr="004A4B1E">
        <w:rPr>
          <w:rFonts w:ascii="Arial" w:hAnsi="Arial" w:cs="Arial"/>
          <w:sz w:val="20"/>
          <w:szCs w:val="20"/>
        </w:rPr>
        <w:t xml:space="preserve">Ersättning till ledande befattningshavare ska bestämmas i enlighet med dessa riktlinjer och </w:t>
      </w:r>
      <w:r w:rsidR="00C537FD">
        <w:rPr>
          <w:rFonts w:ascii="Arial" w:hAnsi="Arial" w:cs="Arial"/>
          <w:sz w:val="20"/>
          <w:szCs w:val="20"/>
        </w:rPr>
        <w:t>Norion</w:t>
      </w:r>
      <w:r w:rsidR="002E3E08">
        <w:rPr>
          <w:rFonts w:ascii="Arial" w:hAnsi="Arial" w:cs="Arial"/>
          <w:sz w:val="20"/>
          <w:szCs w:val="20"/>
        </w:rPr>
        <w:t xml:space="preserve"> Bank</w:t>
      </w:r>
      <w:r w:rsidRPr="004A4B1E">
        <w:rPr>
          <w:rFonts w:ascii="Arial" w:hAnsi="Arial" w:cs="Arial"/>
          <w:sz w:val="20"/>
          <w:szCs w:val="20"/>
        </w:rPr>
        <w:t>s ersättningspolicy vilka baseras på svensk och europeisk lagstiftning och övriga regelverk kring ersättningssystem för banksektorn, svensk kod för bolagsstyrning liksom praxis för en sund ersättningsstruktur.</w:t>
      </w:r>
    </w:p>
    <w:p w14:paraId="5AC32A58" w14:textId="77777777" w:rsidR="004A4B1E" w:rsidRPr="004A4B1E" w:rsidRDefault="004A4B1E" w:rsidP="004A4B1E">
      <w:pPr>
        <w:spacing w:after="209" w:line="256" w:lineRule="auto"/>
        <w:ind w:left="0" w:right="0" w:firstLine="0"/>
        <w:jc w:val="left"/>
        <w:rPr>
          <w:rFonts w:ascii="Arial" w:hAnsi="Arial" w:cs="Arial"/>
          <w:i/>
          <w:iCs/>
          <w:sz w:val="20"/>
          <w:szCs w:val="20"/>
        </w:rPr>
      </w:pPr>
      <w:r w:rsidRPr="004A4B1E">
        <w:rPr>
          <w:rFonts w:ascii="Arial" w:hAnsi="Arial" w:cs="Arial"/>
          <w:i/>
          <w:iCs/>
          <w:sz w:val="20"/>
          <w:szCs w:val="20"/>
        </w:rPr>
        <w:t xml:space="preserve">Tillämpningsområde </w:t>
      </w:r>
    </w:p>
    <w:p w14:paraId="0C3C59E6" w14:textId="448EA3EF" w:rsidR="004A4B1E" w:rsidRPr="004A4B1E" w:rsidRDefault="004A4B1E" w:rsidP="004A4B1E">
      <w:pPr>
        <w:spacing w:line="268" w:lineRule="auto"/>
        <w:ind w:left="-5" w:right="0"/>
        <w:jc w:val="left"/>
        <w:rPr>
          <w:rFonts w:ascii="Arial" w:hAnsi="Arial" w:cs="Arial"/>
          <w:sz w:val="20"/>
          <w:szCs w:val="20"/>
        </w:rPr>
      </w:pPr>
      <w:r w:rsidRPr="004A4B1E">
        <w:rPr>
          <w:rFonts w:ascii="Arial" w:hAnsi="Arial" w:cs="Arial"/>
          <w:sz w:val="20"/>
          <w:szCs w:val="20"/>
        </w:rPr>
        <w:t>Dessa riktlinjer omfattar bolagsledning samt styrelseledamöter</w:t>
      </w:r>
      <w:r w:rsidR="00DE05E6">
        <w:rPr>
          <w:rFonts w:ascii="Arial" w:hAnsi="Arial" w:cs="Arial"/>
          <w:sz w:val="20"/>
          <w:szCs w:val="20"/>
        </w:rPr>
        <w:t xml:space="preserve"> i Norion</w:t>
      </w:r>
      <w:r w:rsidRPr="004A4B1E">
        <w:rPr>
          <w:rFonts w:ascii="Arial" w:hAnsi="Arial" w:cs="Arial"/>
          <w:sz w:val="20"/>
          <w:szCs w:val="20"/>
        </w:rPr>
        <w:t xml:space="preserve"> </w:t>
      </w:r>
      <w:r w:rsidR="002E3E08">
        <w:rPr>
          <w:rFonts w:ascii="Arial" w:hAnsi="Arial" w:cs="Arial"/>
          <w:sz w:val="20"/>
          <w:szCs w:val="20"/>
        </w:rPr>
        <w:t xml:space="preserve">Bank </w:t>
      </w:r>
      <w:r w:rsidRPr="004A4B1E">
        <w:rPr>
          <w:rFonts w:ascii="Arial" w:hAnsi="Arial" w:cs="Arial"/>
          <w:sz w:val="20"/>
          <w:szCs w:val="20"/>
        </w:rPr>
        <w:t xml:space="preserve">i den mån andra ersättningar än sådana som beslutats av årsstämman utgår till styrelseledamöter. Med bolagsledning avses verkställande direktör, vice verkställande direktör och andra personer i ledningsgruppen, samt anställda som har det övergripande ansvaret för någon av bolagets kontrollfunktioner, oavsett om dessa från tid till annan ingår i bolagets ledningsgrupp eller ej. </w:t>
      </w:r>
    </w:p>
    <w:p w14:paraId="02517D90" w14:textId="26BEDF16" w:rsidR="004A4B1E" w:rsidRPr="004A4B1E" w:rsidRDefault="004A4B1E" w:rsidP="004A4B1E">
      <w:pPr>
        <w:spacing w:line="268" w:lineRule="auto"/>
        <w:ind w:left="-5" w:right="0"/>
        <w:jc w:val="left"/>
        <w:rPr>
          <w:rFonts w:ascii="Arial" w:hAnsi="Arial" w:cs="Arial"/>
          <w:sz w:val="20"/>
          <w:szCs w:val="20"/>
        </w:rPr>
      </w:pPr>
      <w:r w:rsidRPr="004A4B1E">
        <w:rPr>
          <w:rFonts w:ascii="Arial" w:hAnsi="Arial" w:cs="Arial"/>
          <w:sz w:val="20"/>
          <w:szCs w:val="20"/>
        </w:rPr>
        <w:t>Riktlinjerna ska tillämpas på ersättningar som avtalas, och förändringar som görs i redan avtalade ersättningar, efter det att riktlinjerna antagits av årsstämman 202</w:t>
      </w:r>
      <w:r w:rsidR="00824330">
        <w:rPr>
          <w:rFonts w:ascii="Arial" w:hAnsi="Arial" w:cs="Arial"/>
          <w:sz w:val="20"/>
          <w:szCs w:val="20"/>
        </w:rPr>
        <w:t>6</w:t>
      </w:r>
      <w:r w:rsidRPr="004A4B1E">
        <w:rPr>
          <w:rFonts w:ascii="Arial" w:hAnsi="Arial" w:cs="Arial"/>
          <w:sz w:val="20"/>
          <w:szCs w:val="20"/>
        </w:rPr>
        <w:t xml:space="preserve">. Riktlinjerna omfattar inte ersättningar som beslutas av </w:t>
      </w:r>
      <w:r w:rsidR="00FA0624">
        <w:rPr>
          <w:rFonts w:ascii="Arial" w:hAnsi="Arial" w:cs="Arial"/>
          <w:sz w:val="20"/>
          <w:szCs w:val="20"/>
        </w:rPr>
        <w:t>bolags</w:t>
      </w:r>
      <w:r w:rsidR="00243E27">
        <w:rPr>
          <w:rFonts w:ascii="Arial" w:hAnsi="Arial" w:cs="Arial"/>
          <w:sz w:val="20"/>
          <w:szCs w:val="20"/>
        </w:rPr>
        <w:t>s</w:t>
      </w:r>
      <w:r w:rsidRPr="004A4B1E">
        <w:rPr>
          <w:rFonts w:ascii="Arial" w:hAnsi="Arial" w:cs="Arial"/>
          <w:sz w:val="20"/>
          <w:szCs w:val="20"/>
        </w:rPr>
        <w:t>tämman.</w:t>
      </w:r>
    </w:p>
    <w:p w14:paraId="0B4AA8D9" w14:textId="77777777" w:rsidR="004A4B1E" w:rsidRPr="004A4B1E" w:rsidRDefault="004A4B1E" w:rsidP="004A4B1E">
      <w:pPr>
        <w:spacing w:line="268" w:lineRule="auto"/>
        <w:ind w:left="-5" w:right="0"/>
        <w:jc w:val="left"/>
        <w:rPr>
          <w:rFonts w:ascii="Arial" w:hAnsi="Arial" w:cs="Arial"/>
          <w:sz w:val="20"/>
          <w:szCs w:val="20"/>
        </w:rPr>
      </w:pPr>
      <w:r w:rsidRPr="004A4B1E">
        <w:rPr>
          <w:rFonts w:ascii="Arial" w:hAnsi="Arial" w:cs="Arial"/>
          <w:sz w:val="20"/>
          <w:szCs w:val="20"/>
        </w:rPr>
        <w:t>Beträffande anställningsförhållanden som lyder under andra regler än svenska får vederbörliga anpassningar ske för att följa tvingande sådana regler eller fast lokal praxis, varvid dessa riktlinjers övergripande ändamål så långt möjligt ska tillgodoses.</w:t>
      </w:r>
    </w:p>
    <w:p w14:paraId="4A3C54C4" w14:textId="77777777" w:rsidR="004A4B1E" w:rsidRPr="004A4B1E" w:rsidRDefault="004A4B1E" w:rsidP="004A4B1E">
      <w:pPr>
        <w:spacing w:after="89" w:line="372" w:lineRule="auto"/>
        <w:ind w:left="-5" w:right="0"/>
        <w:jc w:val="left"/>
        <w:rPr>
          <w:rFonts w:ascii="Arial" w:hAnsi="Arial" w:cs="Arial"/>
          <w:sz w:val="20"/>
          <w:szCs w:val="20"/>
        </w:rPr>
      </w:pPr>
      <w:r w:rsidRPr="004A4B1E">
        <w:rPr>
          <w:rFonts w:ascii="Arial" w:hAnsi="Arial" w:cs="Arial"/>
          <w:i/>
          <w:sz w:val="20"/>
          <w:szCs w:val="20"/>
        </w:rPr>
        <w:t xml:space="preserve">Riktlinjernas främjande av bolagets affärsstrategi, långsiktiga intressen och hållbarhet </w:t>
      </w:r>
    </w:p>
    <w:p w14:paraId="53A7476B" w14:textId="220CEA5C" w:rsidR="003B650E" w:rsidRPr="003B650E" w:rsidRDefault="003B650E" w:rsidP="003B650E">
      <w:pPr>
        <w:spacing w:after="0" w:line="240" w:lineRule="auto"/>
        <w:ind w:left="0" w:right="0" w:firstLine="0"/>
        <w:jc w:val="left"/>
        <w:rPr>
          <w:rFonts w:ascii="Arial" w:eastAsia="Times New Roman" w:hAnsi="Arial" w:cs="Arial"/>
          <w:color w:val="auto"/>
          <w:sz w:val="20"/>
          <w:szCs w:val="20"/>
        </w:rPr>
      </w:pPr>
      <w:r w:rsidRPr="003B650E">
        <w:rPr>
          <w:rFonts w:ascii="Arial" w:eastAsia="Times New Roman" w:hAnsi="Arial" w:cs="Arial"/>
          <w:color w:val="2E2129"/>
          <w:sz w:val="20"/>
          <w:szCs w:val="20"/>
          <w:shd w:val="clear" w:color="auto" w:fill="FFFFFF"/>
        </w:rPr>
        <w:t xml:space="preserve">Norion Bank är en affärsnära nordisk finansieringsbank. Genom koncernens varumärken Norion Bank, Walley och Collector erbjuds kundanpassade finansieringstjänster som möter distinkta kundbehov inom tre kundsegment: medelstora företag och fastighetsbolag, handlare och privatpersoner. Som specialist på finansieringslösningar är Norion Bank ett ledande komplement till traditionella storbanker, med visionen att vara den främsta nordiska finansieringsbanken inom de </w:t>
      </w:r>
      <w:r w:rsidRPr="003B650E">
        <w:rPr>
          <w:rFonts w:ascii="Arial" w:eastAsia="Times New Roman" w:hAnsi="Arial" w:cs="Arial"/>
          <w:color w:val="auto"/>
          <w:sz w:val="20"/>
          <w:szCs w:val="20"/>
          <w:shd w:val="clear" w:color="auto" w:fill="FFFFFF"/>
        </w:rPr>
        <w:t>utvalda segmenten.</w:t>
      </w:r>
      <w:r w:rsidRPr="003B650E">
        <w:rPr>
          <w:rFonts w:ascii="Arial" w:eastAsia="Times New Roman" w:hAnsi="Arial" w:cs="Arial"/>
          <w:color w:val="auto"/>
          <w:sz w:val="20"/>
          <w:szCs w:val="20"/>
        </w:rPr>
        <w:t xml:space="preserve"> </w:t>
      </w:r>
      <w:r w:rsidRPr="003B650E">
        <w:rPr>
          <w:rFonts w:ascii="Arial" w:eastAsia="Times New Roman" w:hAnsi="Arial" w:cs="Arial"/>
          <w:color w:val="auto"/>
          <w:sz w:val="20"/>
          <w:szCs w:val="20"/>
          <w:shd w:val="clear" w:color="auto" w:fill="FFFFFF"/>
        </w:rPr>
        <w:t>Norion Bank</w:t>
      </w:r>
      <w:r w:rsidR="009A5575">
        <w:rPr>
          <w:rFonts w:ascii="Arial" w:eastAsia="Times New Roman" w:hAnsi="Arial" w:cs="Arial"/>
          <w:color w:val="auto"/>
          <w:sz w:val="20"/>
          <w:szCs w:val="20"/>
          <w:shd w:val="clear" w:color="auto" w:fill="FFFFFF"/>
        </w:rPr>
        <w:t>s</w:t>
      </w:r>
      <w:r w:rsidRPr="003B650E">
        <w:rPr>
          <w:rFonts w:ascii="Arial" w:eastAsia="Times New Roman" w:hAnsi="Arial" w:cs="Arial"/>
          <w:color w:val="auto"/>
          <w:sz w:val="20"/>
          <w:szCs w:val="20"/>
          <w:shd w:val="clear" w:color="auto" w:fill="FFFFFF"/>
        </w:rPr>
        <w:t xml:space="preserve"> övergripande strategi är att upprätthålla en god riskjusterad avkastning.</w:t>
      </w:r>
    </w:p>
    <w:p w14:paraId="536BB67A" w14:textId="77777777" w:rsidR="003B650E" w:rsidRPr="003B650E" w:rsidRDefault="003B650E" w:rsidP="003B650E">
      <w:pPr>
        <w:spacing w:after="0" w:line="240" w:lineRule="auto"/>
        <w:ind w:left="0" w:right="0" w:firstLine="0"/>
        <w:jc w:val="left"/>
        <w:rPr>
          <w:rFonts w:ascii="Arial" w:eastAsia="Times New Roman" w:hAnsi="Arial" w:cs="Arial"/>
          <w:color w:val="auto"/>
          <w:sz w:val="20"/>
          <w:szCs w:val="20"/>
        </w:rPr>
      </w:pPr>
    </w:p>
    <w:p w14:paraId="664441A8" w14:textId="77777777" w:rsidR="003B650E" w:rsidRPr="003B650E" w:rsidRDefault="003B650E" w:rsidP="003B650E">
      <w:pPr>
        <w:spacing w:after="0" w:line="240" w:lineRule="auto"/>
        <w:ind w:left="0" w:right="0" w:firstLine="0"/>
        <w:jc w:val="left"/>
        <w:rPr>
          <w:rFonts w:ascii="Arial" w:eastAsia="Times New Roman" w:hAnsi="Arial" w:cs="Arial"/>
          <w:color w:val="2E2129"/>
          <w:sz w:val="20"/>
          <w:szCs w:val="20"/>
          <w:shd w:val="clear" w:color="auto" w:fill="FFFFFF"/>
        </w:rPr>
      </w:pPr>
      <w:r w:rsidRPr="003B650E">
        <w:rPr>
          <w:rFonts w:ascii="Arial" w:eastAsia="Times New Roman" w:hAnsi="Arial" w:cs="Arial"/>
          <w:color w:val="2E2129"/>
          <w:sz w:val="20"/>
          <w:szCs w:val="20"/>
          <w:shd w:val="clear" w:color="auto" w:fill="FFFFFF"/>
        </w:rPr>
        <w:t xml:space="preserve">Norion Banks erbjudande omfattar företags- och fastighetskrediter samt factoring för medelstora företag och fastighetsbolag. Genom varumärket Walley erbjuds flexibla betal- och </w:t>
      </w:r>
      <w:proofErr w:type="spellStart"/>
      <w:r w:rsidRPr="003B650E">
        <w:rPr>
          <w:rFonts w:ascii="Arial" w:eastAsia="Times New Roman" w:hAnsi="Arial" w:cs="Arial"/>
          <w:color w:val="2E2129"/>
          <w:sz w:val="20"/>
          <w:szCs w:val="20"/>
          <w:shd w:val="clear" w:color="auto" w:fill="FFFFFF"/>
        </w:rPr>
        <w:t>checkoutlösningar</w:t>
      </w:r>
      <w:proofErr w:type="spellEnd"/>
      <w:r w:rsidRPr="003B650E">
        <w:rPr>
          <w:rFonts w:ascii="Arial" w:eastAsia="Times New Roman" w:hAnsi="Arial" w:cs="Arial"/>
          <w:color w:val="2E2129"/>
          <w:sz w:val="20"/>
          <w:szCs w:val="20"/>
          <w:shd w:val="clear" w:color="auto" w:fill="FFFFFF"/>
        </w:rPr>
        <w:t xml:space="preserve"> till handlare och privatpersoner. Varumärket Collector tillhandahåller privatlån och kreditkort till privatpersoner samt sparkonton för privatpersoner och företag.</w:t>
      </w:r>
    </w:p>
    <w:p w14:paraId="6397B3FA" w14:textId="77777777" w:rsidR="003B650E" w:rsidRPr="003B650E" w:rsidRDefault="003B650E" w:rsidP="003B650E">
      <w:pPr>
        <w:spacing w:after="0" w:line="240" w:lineRule="auto"/>
        <w:ind w:left="0" w:right="0" w:firstLine="0"/>
        <w:jc w:val="left"/>
        <w:rPr>
          <w:rFonts w:ascii="Arial" w:eastAsia="Times New Roman" w:hAnsi="Arial" w:cs="Arial"/>
          <w:color w:val="2E2129"/>
          <w:sz w:val="20"/>
          <w:szCs w:val="20"/>
          <w:shd w:val="clear" w:color="auto" w:fill="FFFFFF"/>
        </w:rPr>
      </w:pPr>
    </w:p>
    <w:p w14:paraId="4DE077E1" w14:textId="77777777" w:rsidR="003B650E" w:rsidRDefault="003B650E" w:rsidP="003B650E">
      <w:pPr>
        <w:spacing w:after="0" w:line="240" w:lineRule="auto"/>
        <w:ind w:left="0" w:right="0" w:firstLine="0"/>
        <w:jc w:val="left"/>
        <w:rPr>
          <w:rFonts w:ascii="Arial" w:hAnsi="Arial" w:cs="Arial"/>
          <w:color w:val="auto"/>
          <w:sz w:val="20"/>
          <w:szCs w:val="20"/>
        </w:rPr>
      </w:pPr>
      <w:r w:rsidRPr="003B650E">
        <w:rPr>
          <w:rFonts w:ascii="Arial" w:hAnsi="Arial" w:cs="Arial"/>
          <w:color w:val="auto"/>
          <w:sz w:val="20"/>
          <w:szCs w:val="20"/>
        </w:rPr>
        <w:t>En framgångsrik implementering av bolagets affärsstrategi och tillvaratagandet av bolagets långsiktiga intressen, inklusive dess hållbarhet, förutsätter att bolaget kan rekrytera och behålla kvalificerade medarbetare. För detta krävs att bolaget kan erbjuda konkurrenskraftig ersättning. Dessa riktlinjer möjliggör att bolagsledningen kan erbjudas en konkurrenskraftig totalersättning.</w:t>
      </w:r>
    </w:p>
    <w:p w14:paraId="0C11511E" w14:textId="77777777" w:rsidR="00334BA7" w:rsidRDefault="00334BA7" w:rsidP="003B650E">
      <w:pPr>
        <w:spacing w:after="0" w:line="240" w:lineRule="auto"/>
        <w:ind w:left="0" w:right="0" w:firstLine="0"/>
        <w:jc w:val="left"/>
        <w:rPr>
          <w:rFonts w:ascii="Arial" w:hAnsi="Arial" w:cs="Arial"/>
          <w:color w:val="auto"/>
          <w:sz w:val="20"/>
          <w:szCs w:val="20"/>
        </w:rPr>
      </w:pPr>
    </w:p>
    <w:p w14:paraId="2FD86FCA" w14:textId="77777777" w:rsidR="00334BA7" w:rsidRPr="003B650E" w:rsidRDefault="00334BA7" w:rsidP="003B650E">
      <w:pPr>
        <w:spacing w:after="0" w:line="240" w:lineRule="auto"/>
        <w:ind w:left="0" w:right="0" w:firstLine="0"/>
        <w:jc w:val="left"/>
        <w:rPr>
          <w:rFonts w:ascii="Arial" w:hAnsi="Arial" w:cs="Arial"/>
          <w:color w:val="auto"/>
          <w:sz w:val="20"/>
          <w:szCs w:val="20"/>
        </w:rPr>
      </w:pPr>
    </w:p>
    <w:p w14:paraId="24E77A84" w14:textId="77777777" w:rsidR="003310F4" w:rsidRPr="004A4B1E" w:rsidRDefault="003310F4" w:rsidP="004A4B1E">
      <w:pPr>
        <w:spacing w:line="268" w:lineRule="auto"/>
        <w:ind w:left="-5" w:right="0"/>
        <w:jc w:val="left"/>
        <w:rPr>
          <w:rFonts w:ascii="Arial" w:hAnsi="Arial" w:cs="Arial"/>
          <w:sz w:val="20"/>
          <w:szCs w:val="20"/>
        </w:rPr>
      </w:pPr>
    </w:p>
    <w:p w14:paraId="45BDD7BE" w14:textId="77777777" w:rsidR="004A4B1E" w:rsidRPr="004A4B1E" w:rsidRDefault="004A4B1E" w:rsidP="004A4B1E">
      <w:pPr>
        <w:spacing w:after="216" w:line="256" w:lineRule="auto"/>
        <w:ind w:left="-5" w:right="0"/>
        <w:jc w:val="left"/>
        <w:rPr>
          <w:rFonts w:ascii="Arial" w:hAnsi="Arial" w:cs="Arial"/>
          <w:sz w:val="20"/>
          <w:szCs w:val="20"/>
        </w:rPr>
      </w:pPr>
      <w:r w:rsidRPr="004A4B1E">
        <w:rPr>
          <w:rFonts w:ascii="Arial" w:hAnsi="Arial" w:cs="Arial"/>
          <w:i/>
          <w:sz w:val="20"/>
          <w:szCs w:val="20"/>
        </w:rPr>
        <w:lastRenderedPageBreak/>
        <w:t xml:space="preserve">Formerna av ersättning m.m. </w:t>
      </w:r>
    </w:p>
    <w:p w14:paraId="1F0A8072" w14:textId="77777777" w:rsidR="004A4B1E" w:rsidRPr="004A4B1E" w:rsidRDefault="004A4B1E" w:rsidP="004A4B1E">
      <w:pPr>
        <w:spacing w:line="268" w:lineRule="auto"/>
        <w:ind w:left="-5" w:right="0"/>
        <w:jc w:val="left"/>
        <w:rPr>
          <w:rFonts w:ascii="Arial" w:hAnsi="Arial" w:cs="Arial"/>
          <w:sz w:val="20"/>
          <w:szCs w:val="20"/>
        </w:rPr>
      </w:pPr>
      <w:r w:rsidRPr="004A4B1E">
        <w:rPr>
          <w:rFonts w:ascii="Arial" w:hAnsi="Arial" w:cs="Arial"/>
          <w:sz w:val="20"/>
          <w:szCs w:val="20"/>
        </w:rPr>
        <w:t xml:space="preserve">Ersättningen ska vara marknadsmässig och bestå av följande komponenter: fast kontantlön, pensionsavsättningar och andra icke monetära förmåner. </w:t>
      </w:r>
    </w:p>
    <w:p w14:paraId="70EE68E2" w14:textId="1CCF67F2" w:rsidR="004A4B1E" w:rsidRPr="004A4B1E" w:rsidRDefault="004A4B1E" w:rsidP="004A4B1E">
      <w:pPr>
        <w:spacing w:line="268" w:lineRule="auto"/>
        <w:ind w:left="-5" w:right="0"/>
        <w:jc w:val="left"/>
        <w:rPr>
          <w:rFonts w:ascii="Arial" w:hAnsi="Arial" w:cs="Arial"/>
          <w:sz w:val="20"/>
          <w:szCs w:val="20"/>
        </w:rPr>
      </w:pPr>
      <w:r w:rsidRPr="004A4B1E">
        <w:rPr>
          <w:rFonts w:ascii="Arial" w:hAnsi="Arial" w:cs="Arial"/>
          <w:sz w:val="20"/>
          <w:szCs w:val="20"/>
        </w:rPr>
        <w:t>För att undvika att bolagsledning</w:t>
      </w:r>
      <w:r w:rsidR="004338EA">
        <w:rPr>
          <w:rFonts w:ascii="Arial" w:hAnsi="Arial" w:cs="Arial"/>
          <w:sz w:val="20"/>
          <w:szCs w:val="20"/>
        </w:rPr>
        <w:t>en</w:t>
      </w:r>
      <w:r w:rsidRPr="004A4B1E">
        <w:rPr>
          <w:rFonts w:ascii="Arial" w:hAnsi="Arial" w:cs="Arial"/>
          <w:sz w:val="20"/>
          <w:szCs w:val="20"/>
        </w:rPr>
        <w:t xml:space="preserve"> uppmuntras till osunt risktagande ska inte någon rörlig ersättning utgå, dock med undantag för vad som anges nedan. Den fasta ersättningen ska således, tillsammans med pensionsavsättning och icke monetära förmåner, utgöra den anställdes totala ersättning.</w:t>
      </w:r>
    </w:p>
    <w:p w14:paraId="053A8D48" w14:textId="77777777" w:rsidR="004A4B1E" w:rsidRPr="004A4B1E" w:rsidRDefault="004A4B1E" w:rsidP="004A4B1E">
      <w:pPr>
        <w:spacing w:line="268" w:lineRule="auto"/>
        <w:ind w:left="-5" w:right="0"/>
        <w:jc w:val="left"/>
        <w:rPr>
          <w:rFonts w:ascii="Arial" w:hAnsi="Arial" w:cs="Arial"/>
          <w:sz w:val="20"/>
          <w:szCs w:val="20"/>
        </w:rPr>
      </w:pPr>
      <w:r w:rsidRPr="004A4B1E">
        <w:rPr>
          <w:rFonts w:ascii="Arial" w:hAnsi="Arial" w:cs="Arial"/>
          <w:sz w:val="20"/>
          <w:szCs w:val="20"/>
        </w:rPr>
        <w:t xml:space="preserve">Därutöver kan årsstämman om så beslutas lämna erbjudande om långsiktiga incitamentsprogram såsom aktie- eller aktiekursrelaterade ersättningar eller incitamentsprogram. Sådana långsiktiga incitamentsprogram beslutas av bolagsstämman och omfattas därför inte av dessa riktlinjer.  </w:t>
      </w:r>
    </w:p>
    <w:p w14:paraId="07AEE95A" w14:textId="7A6C74B1" w:rsidR="009634A7" w:rsidRPr="009634A7" w:rsidRDefault="004A4B1E" w:rsidP="009634A7">
      <w:pPr>
        <w:ind w:left="-5" w:right="0"/>
        <w:rPr>
          <w:rFonts w:ascii="Arial" w:hAnsi="Arial" w:cs="Arial"/>
          <w:sz w:val="20"/>
          <w:szCs w:val="20"/>
        </w:rPr>
      </w:pPr>
      <w:r w:rsidRPr="004A4B1E">
        <w:rPr>
          <w:rFonts w:ascii="Arial" w:hAnsi="Arial" w:cs="Arial"/>
          <w:sz w:val="20"/>
          <w:szCs w:val="20"/>
        </w:rPr>
        <w:t>Kontant rörlig ersättning kan utgå vid extraordinära omständigheter, förutsatt att sådana extraordinära arrangemang är tidsbegränsade och endast görs på individnivå antingen i syfte att rekrytera eller behålla befattningshavare, eller som ersättning för extraordinära arbetsinsatser utöver personens ordinarie arbetsuppgifter. Den rörliga ersättningen får dock inte vara kopplad till bolagets finansiella mål eller liknande som skulle kunna leda till att berörda anställda lockas till osunt risktagande. Sådan ersättning får inte överstiga ett belopp motsvarande 20 procent av den fasta årliga kontantlönen samt</w:t>
      </w:r>
      <w:r w:rsidR="009634A7" w:rsidRPr="009634A7">
        <w:rPr>
          <w:rFonts w:ascii="Arial" w:hAnsi="Arial" w:cs="Arial"/>
          <w:sz w:val="20"/>
          <w:szCs w:val="20"/>
        </w:rPr>
        <w:t xml:space="preserve"> ej utges mer än en gång per år och per individ. Beslut om sådan ersättning ska fattas av styrelsen på förslag av ersättningsutskottet. </w:t>
      </w:r>
    </w:p>
    <w:p w14:paraId="5C3ACE80" w14:textId="77777777" w:rsidR="009634A7" w:rsidRPr="009634A7" w:rsidRDefault="009634A7" w:rsidP="009634A7">
      <w:pPr>
        <w:ind w:left="-5" w:right="0"/>
        <w:rPr>
          <w:rFonts w:ascii="Arial" w:hAnsi="Arial" w:cs="Arial"/>
          <w:i/>
          <w:iCs/>
          <w:sz w:val="20"/>
          <w:szCs w:val="20"/>
        </w:rPr>
      </w:pPr>
      <w:r w:rsidRPr="009634A7">
        <w:rPr>
          <w:rFonts w:ascii="Arial" w:hAnsi="Arial" w:cs="Arial"/>
          <w:i/>
          <w:iCs/>
          <w:sz w:val="20"/>
          <w:szCs w:val="20"/>
        </w:rPr>
        <w:t>Fast lön</w:t>
      </w:r>
    </w:p>
    <w:p w14:paraId="5710F62A" w14:textId="77777777" w:rsidR="009634A7" w:rsidRPr="009634A7" w:rsidRDefault="009634A7" w:rsidP="009634A7">
      <w:pPr>
        <w:ind w:left="-5" w:right="0"/>
        <w:rPr>
          <w:rFonts w:ascii="Arial" w:hAnsi="Arial" w:cs="Arial"/>
          <w:sz w:val="20"/>
          <w:szCs w:val="20"/>
        </w:rPr>
      </w:pPr>
      <w:r w:rsidRPr="009634A7">
        <w:rPr>
          <w:rFonts w:ascii="Arial" w:hAnsi="Arial" w:cs="Arial"/>
          <w:sz w:val="20"/>
          <w:szCs w:val="20"/>
        </w:rPr>
        <w:t>Varje person i bolagsledningen ska erbjudas en fast lön som är marknadsmässig och baserad på arbetets svårighetsgrad och befattningshavarens erfarenhet, ansvar, kompetens och arbetsinsats. Den fasta lönen revideras årligen.</w:t>
      </w:r>
    </w:p>
    <w:p w14:paraId="40C09827" w14:textId="77777777" w:rsidR="009634A7" w:rsidRPr="009634A7" w:rsidRDefault="009634A7" w:rsidP="009634A7">
      <w:pPr>
        <w:ind w:left="-5" w:right="0"/>
        <w:rPr>
          <w:rFonts w:ascii="Arial" w:hAnsi="Arial" w:cs="Arial"/>
          <w:i/>
          <w:iCs/>
          <w:sz w:val="20"/>
          <w:szCs w:val="20"/>
        </w:rPr>
      </w:pPr>
      <w:r w:rsidRPr="009634A7">
        <w:rPr>
          <w:rFonts w:ascii="Arial" w:hAnsi="Arial" w:cs="Arial"/>
          <w:i/>
          <w:iCs/>
          <w:sz w:val="20"/>
          <w:szCs w:val="20"/>
        </w:rPr>
        <w:t>Pension</w:t>
      </w:r>
    </w:p>
    <w:p w14:paraId="3799E36A" w14:textId="77777777" w:rsidR="009634A7" w:rsidRPr="009634A7" w:rsidRDefault="009634A7" w:rsidP="009634A7">
      <w:pPr>
        <w:ind w:left="-5" w:right="0"/>
        <w:rPr>
          <w:rFonts w:ascii="Arial" w:hAnsi="Arial" w:cs="Arial"/>
          <w:sz w:val="20"/>
          <w:szCs w:val="20"/>
        </w:rPr>
      </w:pPr>
      <w:r w:rsidRPr="009634A7">
        <w:rPr>
          <w:rFonts w:ascii="Arial" w:hAnsi="Arial" w:cs="Arial"/>
          <w:sz w:val="20"/>
          <w:szCs w:val="20"/>
        </w:rPr>
        <w:t>Varje person i bolagsledningen ska erbjudas pensionsvillkor som är marknadsmässiga i förhållande till situationen i det land där befattningshavaren stadigvarande är bosatt.</w:t>
      </w:r>
    </w:p>
    <w:p w14:paraId="25B62BC8" w14:textId="77777777" w:rsidR="009634A7" w:rsidRPr="009634A7" w:rsidRDefault="009634A7" w:rsidP="009634A7">
      <w:pPr>
        <w:ind w:left="-5" w:right="0"/>
        <w:rPr>
          <w:rFonts w:ascii="Arial" w:hAnsi="Arial" w:cs="Arial"/>
          <w:sz w:val="20"/>
          <w:szCs w:val="20"/>
        </w:rPr>
      </w:pPr>
      <w:r w:rsidRPr="009634A7">
        <w:rPr>
          <w:rFonts w:ascii="Arial" w:hAnsi="Arial" w:cs="Arial"/>
          <w:sz w:val="20"/>
          <w:szCs w:val="20"/>
        </w:rPr>
        <w:t xml:space="preserve">För verkställande direktören och övriga ledande befattningshavare ska pensionsförmåner, innefattande sjukförsäkring, vara premiebestämda. Pensionspremierna för premiebestämd pension ska uppgå till högst 30 procent av den fasta årliga kontantlönen. </w:t>
      </w:r>
    </w:p>
    <w:p w14:paraId="58BA5C11" w14:textId="77777777" w:rsidR="009634A7" w:rsidRPr="009634A7" w:rsidRDefault="009634A7" w:rsidP="009634A7">
      <w:pPr>
        <w:ind w:left="-5" w:right="0"/>
        <w:rPr>
          <w:rFonts w:ascii="Arial" w:hAnsi="Arial" w:cs="Arial"/>
          <w:i/>
          <w:iCs/>
          <w:sz w:val="20"/>
          <w:szCs w:val="20"/>
        </w:rPr>
      </w:pPr>
      <w:r w:rsidRPr="009634A7">
        <w:rPr>
          <w:rFonts w:ascii="Arial" w:hAnsi="Arial" w:cs="Arial"/>
          <w:i/>
          <w:iCs/>
          <w:sz w:val="20"/>
          <w:szCs w:val="20"/>
        </w:rPr>
        <w:t>Icke monetära förmåner</w:t>
      </w:r>
    </w:p>
    <w:p w14:paraId="006ACBCD" w14:textId="77777777" w:rsidR="009634A7" w:rsidRPr="009634A7" w:rsidRDefault="009634A7" w:rsidP="009634A7">
      <w:pPr>
        <w:ind w:left="-5" w:right="0"/>
        <w:rPr>
          <w:rFonts w:ascii="Arial" w:hAnsi="Arial" w:cs="Arial"/>
          <w:sz w:val="20"/>
          <w:szCs w:val="20"/>
        </w:rPr>
      </w:pPr>
      <w:r w:rsidRPr="009634A7">
        <w:rPr>
          <w:rFonts w:ascii="Arial" w:hAnsi="Arial" w:cs="Arial"/>
          <w:sz w:val="20"/>
          <w:szCs w:val="20"/>
        </w:rPr>
        <w:t>Icke monetära förmåner ska underlätta befattningshavarens arbetsutförande och motsvara vad som kan anses rimligt i förhållande till praxis på marknaden.</w:t>
      </w:r>
    </w:p>
    <w:p w14:paraId="1C191FDD" w14:textId="77777777" w:rsidR="009634A7" w:rsidRPr="009634A7" w:rsidRDefault="009634A7" w:rsidP="009634A7">
      <w:pPr>
        <w:ind w:left="-5" w:right="0"/>
        <w:rPr>
          <w:rFonts w:ascii="Arial" w:hAnsi="Arial" w:cs="Arial"/>
          <w:sz w:val="20"/>
          <w:szCs w:val="20"/>
        </w:rPr>
      </w:pPr>
      <w:r w:rsidRPr="009634A7">
        <w:rPr>
          <w:rFonts w:ascii="Arial" w:hAnsi="Arial" w:cs="Arial"/>
          <w:sz w:val="20"/>
          <w:szCs w:val="20"/>
        </w:rPr>
        <w:t>Icke monetära förmåner kan innefatta bl.a. livförsäkring, sjukvårdsförsäkring och bilförmån. Premier och andra kostnader i anledning av sådana förmåner får sammanlagt uppgå till högst 15 procent av den fasta årliga kontantlönen.</w:t>
      </w:r>
    </w:p>
    <w:p w14:paraId="0AE81118" w14:textId="77777777" w:rsidR="009634A7" w:rsidRPr="009634A7" w:rsidRDefault="009634A7" w:rsidP="009634A7">
      <w:pPr>
        <w:ind w:left="-5" w:right="0"/>
        <w:rPr>
          <w:rFonts w:ascii="Arial" w:hAnsi="Arial" w:cs="Arial"/>
          <w:sz w:val="20"/>
          <w:szCs w:val="20"/>
        </w:rPr>
      </w:pPr>
      <w:r w:rsidRPr="009634A7">
        <w:rPr>
          <w:rFonts w:ascii="Arial" w:hAnsi="Arial" w:cs="Arial"/>
          <w:sz w:val="20"/>
          <w:szCs w:val="20"/>
        </w:rPr>
        <w:t>Beträffande anställningsförhållanden som lyder under andra regler än svenska får, såvitt avser pensionsförmåner och andra förmåner, vederbörliga anpassningar ske för att följa tvingande regler eller fast lokal praxis, varvid dessa riktlinjers övergripande ändamål så långt möjligt ska tillgodoses.</w:t>
      </w:r>
    </w:p>
    <w:p w14:paraId="701CC87C" w14:textId="69918C0E" w:rsidR="009634A7" w:rsidRPr="00B048D2" w:rsidRDefault="009634A7" w:rsidP="00B048D2">
      <w:pPr>
        <w:ind w:left="-5" w:right="0"/>
        <w:rPr>
          <w:rFonts w:ascii="Arial" w:hAnsi="Arial" w:cs="Arial"/>
          <w:i/>
          <w:sz w:val="20"/>
          <w:szCs w:val="20"/>
        </w:rPr>
      </w:pPr>
      <w:r w:rsidRPr="009634A7">
        <w:rPr>
          <w:rFonts w:ascii="Arial" w:hAnsi="Arial" w:cs="Arial"/>
          <w:i/>
          <w:sz w:val="20"/>
          <w:szCs w:val="20"/>
        </w:rPr>
        <w:t xml:space="preserve">Upphörande av anställning </w:t>
      </w:r>
    </w:p>
    <w:p w14:paraId="3EE1D1CC" w14:textId="3EF2BCBE" w:rsidR="00396358" w:rsidRDefault="00396358" w:rsidP="00396358">
      <w:pPr>
        <w:ind w:left="-5" w:right="0"/>
        <w:rPr>
          <w:rFonts w:ascii="Arial" w:hAnsi="Arial" w:cs="Arial"/>
          <w:iCs/>
          <w:sz w:val="20"/>
          <w:szCs w:val="20"/>
        </w:rPr>
      </w:pPr>
      <w:r w:rsidRPr="00396358">
        <w:rPr>
          <w:rFonts w:ascii="Arial" w:hAnsi="Arial" w:cs="Arial"/>
          <w:iCs/>
          <w:sz w:val="20"/>
          <w:szCs w:val="20"/>
        </w:rPr>
        <w:t xml:space="preserve">Avgångsvederlag får maximalt utgå motsvarande 12 fasta månadslöner. </w:t>
      </w:r>
      <w:r w:rsidR="00112A27" w:rsidRPr="00112A27">
        <w:rPr>
          <w:rFonts w:ascii="Arial" w:hAnsi="Arial" w:cs="Arial"/>
          <w:iCs/>
          <w:sz w:val="20"/>
          <w:szCs w:val="20"/>
        </w:rPr>
        <w:t>Avgångsvederlag utgörs aldrig av andra tillägg eller förmåner utöver den fasta månadslönen, såsom pensionsavsättning eller semesterlön.</w:t>
      </w:r>
    </w:p>
    <w:p w14:paraId="783A5ECA" w14:textId="3DAB6828" w:rsidR="00396358" w:rsidRDefault="00016DA1" w:rsidP="0011154C">
      <w:pPr>
        <w:ind w:left="-5" w:right="0"/>
        <w:rPr>
          <w:rFonts w:ascii="Arial" w:hAnsi="Arial" w:cs="Arial"/>
          <w:iCs/>
          <w:sz w:val="20"/>
          <w:szCs w:val="20"/>
        </w:rPr>
      </w:pPr>
      <w:r>
        <w:rPr>
          <w:rFonts w:ascii="Arial" w:hAnsi="Arial" w:cs="Arial"/>
          <w:iCs/>
          <w:sz w:val="20"/>
          <w:szCs w:val="20"/>
        </w:rPr>
        <w:lastRenderedPageBreak/>
        <w:t>Uppsägningstid får vara maximalt</w:t>
      </w:r>
      <w:r w:rsidR="007E628A">
        <w:rPr>
          <w:rFonts w:ascii="Arial" w:hAnsi="Arial" w:cs="Arial"/>
          <w:iCs/>
          <w:sz w:val="20"/>
          <w:szCs w:val="20"/>
        </w:rPr>
        <w:t xml:space="preserve"> 12 månader vid överenskommelse eller uppsägning från </w:t>
      </w:r>
      <w:r w:rsidR="00751A92">
        <w:rPr>
          <w:rFonts w:ascii="Arial" w:hAnsi="Arial" w:cs="Arial"/>
          <w:iCs/>
          <w:sz w:val="20"/>
          <w:szCs w:val="20"/>
        </w:rPr>
        <w:t xml:space="preserve">bolagets sida, och sex månader vid uppsägning från befattningshavarens </w:t>
      </w:r>
      <w:r w:rsidR="00D77F38">
        <w:rPr>
          <w:rFonts w:ascii="Arial" w:hAnsi="Arial" w:cs="Arial"/>
          <w:iCs/>
          <w:sz w:val="20"/>
          <w:szCs w:val="20"/>
        </w:rPr>
        <w:t>sida (vid uppsägning från befattning</w:t>
      </w:r>
      <w:r w:rsidR="00A36832">
        <w:rPr>
          <w:rFonts w:ascii="Arial" w:hAnsi="Arial" w:cs="Arial"/>
          <w:iCs/>
          <w:sz w:val="20"/>
          <w:szCs w:val="20"/>
        </w:rPr>
        <w:t>s</w:t>
      </w:r>
      <w:r w:rsidR="00D77F38">
        <w:rPr>
          <w:rFonts w:ascii="Arial" w:hAnsi="Arial" w:cs="Arial"/>
          <w:iCs/>
          <w:sz w:val="20"/>
          <w:szCs w:val="20"/>
        </w:rPr>
        <w:t xml:space="preserve">havarens sida föreligger ingen rätt till </w:t>
      </w:r>
      <w:r w:rsidR="0011154C">
        <w:rPr>
          <w:rFonts w:ascii="Arial" w:hAnsi="Arial" w:cs="Arial"/>
          <w:iCs/>
          <w:sz w:val="20"/>
          <w:szCs w:val="20"/>
        </w:rPr>
        <w:t>avgångsvederlag).</w:t>
      </w:r>
      <w:r w:rsidR="00846D17">
        <w:rPr>
          <w:rFonts w:ascii="Arial" w:hAnsi="Arial" w:cs="Arial"/>
          <w:iCs/>
          <w:sz w:val="20"/>
          <w:szCs w:val="20"/>
        </w:rPr>
        <w:t xml:space="preserve"> </w:t>
      </w:r>
      <w:r w:rsidR="00846D17" w:rsidRPr="00846D17">
        <w:rPr>
          <w:rFonts w:ascii="Arial" w:hAnsi="Arial" w:cs="Arial"/>
          <w:iCs/>
          <w:sz w:val="20"/>
          <w:szCs w:val="20"/>
        </w:rPr>
        <w:t>Under uppsägningstid utgår fast månadslön samt förmåner och pension i enlighet med befattningshavarens anställningsavtal.</w:t>
      </w:r>
    </w:p>
    <w:p w14:paraId="39C652E0" w14:textId="27E23145" w:rsidR="00396358" w:rsidRPr="008F2D0D" w:rsidRDefault="0011154C" w:rsidP="008F2D0D">
      <w:pPr>
        <w:ind w:left="-5" w:right="0"/>
        <w:rPr>
          <w:rFonts w:ascii="Arial" w:hAnsi="Arial" w:cs="Arial"/>
          <w:iCs/>
          <w:sz w:val="20"/>
          <w:szCs w:val="20"/>
        </w:rPr>
      </w:pPr>
      <w:r>
        <w:rPr>
          <w:rFonts w:ascii="Arial" w:hAnsi="Arial" w:cs="Arial"/>
          <w:iCs/>
          <w:sz w:val="20"/>
          <w:szCs w:val="20"/>
        </w:rPr>
        <w:t xml:space="preserve">Fördelningen mellan uppsägningstid och avgångsvederlag överenskoms mellan bolaget och befattningshavaren, med den yttersta begränsningen </w:t>
      </w:r>
      <w:r w:rsidR="005D7AE3">
        <w:rPr>
          <w:rFonts w:ascii="Arial" w:hAnsi="Arial" w:cs="Arial"/>
          <w:iCs/>
          <w:sz w:val="20"/>
          <w:szCs w:val="20"/>
        </w:rPr>
        <w:t xml:space="preserve">att uppsägningstid och tid under vilken avgångsvederlag utgår sammanlagt inte får </w:t>
      </w:r>
      <w:r w:rsidR="00B272DC">
        <w:rPr>
          <w:rFonts w:ascii="Arial" w:hAnsi="Arial" w:cs="Arial"/>
          <w:iCs/>
          <w:sz w:val="20"/>
          <w:szCs w:val="20"/>
        </w:rPr>
        <w:t xml:space="preserve">överstiga två år för den verkställande direktören och 18 månader för övriga </w:t>
      </w:r>
      <w:r w:rsidR="008145B2">
        <w:rPr>
          <w:rFonts w:ascii="Arial" w:hAnsi="Arial" w:cs="Arial"/>
          <w:iCs/>
          <w:sz w:val="20"/>
          <w:szCs w:val="20"/>
        </w:rPr>
        <w:t xml:space="preserve">ledande befattningshavare. </w:t>
      </w:r>
      <w:r w:rsidR="00BF484B">
        <w:rPr>
          <w:rFonts w:ascii="Arial" w:hAnsi="Arial" w:cs="Arial"/>
          <w:iCs/>
          <w:sz w:val="20"/>
          <w:szCs w:val="20"/>
        </w:rPr>
        <w:t xml:space="preserve">Lön under uppsägningstid och </w:t>
      </w:r>
      <w:r w:rsidR="008F2D0D">
        <w:rPr>
          <w:rFonts w:ascii="Arial" w:hAnsi="Arial" w:cs="Arial"/>
          <w:iCs/>
          <w:sz w:val="20"/>
          <w:szCs w:val="20"/>
        </w:rPr>
        <w:t>avgångsvederlag utbetalas månadsvis.</w:t>
      </w:r>
    </w:p>
    <w:p w14:paraId="1B441FB1" w14:textId="3F4BE255" w:rsidR="009634A7" w:rsidRPr="009634A7" w:rsidRDefault="009634A7" w:rsidP="009634A7">
      <w:pPr>
        <w:ind w:left="-5" w:right="0"/>
        <w:rPr>
          <w:rFonts w:ascii="Arial" w:hAnsi="Arial" w:cs="Arial"/>
          <w:sz w:val="20"/>
          <w:szCs w:val="20"/>
        </w:rPr>
      </w:pPr>
      <w:r w:rsidRPr="009634A7">
        <w:rPr>
          <w:rFonts w:ascii="Arial" w:hAnsi="Arial" w:cs="Arial"/>
          <w:iCs/>
          <w:sz w:val="20"/>
          <w:szCs w:val="20"/>
        </w:rPr>
        <w:t xml:space="preserve">Därutöver kan </w:t>
      </w:r>
      <w:r w:rsidR="00CA28EE">
        <w:rPr>
          <w:rFonts w:ascii="Arial" w:hAnsi="Arial" w:cs="Arial"/>
          <w:iCs/>
          <w:sz w:val="20"/>
          <w:szCs w:val="20"/>
        </w:rPr>
        <w:t xml:space="preserve">det </w:t>
      </w:r>
      <w:r w:rsidRPr="009634A7">
        <w:rPr>
          <w:rFonts w:ascii="Arial" w:hAnsi="Arial" w:cs="Arial"/>
          <w:iCs/>
          <w:sz w:val="20"/>
          <w:szCs w:val="20"/>
        </w:rPr>
        <w:t xml:space="preserve">för VD och </w:t>
      </w:r>
      <w:r w:rsidR="009C5F07">
        <w:rPr>
          <w:rFonts w:ascii="Arial" w:hAnsi="Arial" w:cs="Arial"/>
          <w:iCs/>
          <w:sz w:val="20"/>
          <w:szCs w:val="20"/>
        </w:rPr>
        <w:t xml:space="preserve">övrig </w:t>
      </w:r>
      <w:r w:rsidR="00FC21B0">
        <w:rPr>
          <w:rFonts w:ascii="Arial" w:hAnsi="Arial" w:cs="Arial"/>
          <w:iCs/>
          <w:sz w:val="20"/>
          <w:szCs w:val="20"/>
        </w:rPr>
        <w:t>bolagsledning</w:t>
      </w:r>
      <w:r w:rsidRPr="009634A7">
        <w:rPr>
          <w:rFonts w:ascii="Arial" w:hAnsi="Arial" w:cs="Arial"/>
          <w:iCs/>
          <w:sz w:val="20"/>
          <w:szCs w:val="20"/>
        </w:rPr>
        <w:t xml:space="preserve"> för åtagande om konkurrensbegränsning komma att utgå </w:t>
      </w:r>
      <w:r w:rsidR="00CA28EE">
        <w:rPr>
          <w:rFonts w:ascii="Arial" w:hAnsi="Arial" w:cs="Arial"/>
          <w:iCs/>
          <w:sz w:val="20"/>
          <w:szCs w:val="20"/>
        </w:rPr>
        <w:t xml:space="preserve">ersättning </w:t>
      </w:r>
      <w:r w:rsidRPr="009634A7">
        <w:rPr>
          <w:rFonts w:ascii="Arial" w:hAnsi="Arial" w:cs="Arial"/>
          <w:iCs/>
          <w:sz w:val="20"/>
          <w:szCs w:val="20"/>
        </w:rPr>
        <w:t xml:space="preserve">vid anställningens upphörande i syfte att kompensera för eventuellt inkomstbortfall. För VD </w:t>
      </w:r>
      <w:r w:rsidR="0057190B">
        <w:rPr>
          <w:rFonts w:ascii="Arial" w:hAnsi="Arial" w:cs="Arial"/>
          <w:iCs/>
          <w:sz w:val="20"/>
          <w:szCs w:val="20"/>
        </w:rPr>
        <w:t xml:space="preserve">och </w:t>
      </w:r>
      <w:r w:rsidR="009C5F07">
        <w:rPr>
          <w:rFonts w:ascii="Arial" w:hAnsi="Arial" w:cs="Arial"/>
          <w:iCs/>
          <w:sz w:val="20"/>
          <w:szCs w:val="20"/>
        </w:rPr>
        <w:t xml:space="preserve">övrig </w:t>
      </w:r>
      <w:r w:rsidR="0057190B">
        <w:rPr>
          <w:rFonts w:ascii="Arial" w:hAnsi="Arial" w:cs="Arial"/>
          <w:iCs/>
          <w:sz w:val="20"/>
          <w:szCs w:val="20"/>
        </w:rPr>
        <w:t xml:space="preserve">bolagsledning </w:t>
      </w:r>
      <w:r w:rsidRPr="009634A7">
        <w:rPr>
          <w:rFonts w:ascii="Arial" w:hAnsi="Arial" w:cs="Arial"/>
          <w:iCs/>
          <w:sz w:val="20"/>
          <w:szCs w:val="20"/>
        </w:rPr>
        <w:t xml:space="preserve">gäller att sådan ersättning för åtagande om konkurrensbegränsning endast ska utgå i den utsträckning som den tidigare befattningshavaren saknar rätt till avgångsvederlag. Ersättningen ska för VD utgöra skillnaden mellan den fasta kontantlönen vid tidpunkten för uppsägningen med avdrag för den eventuellt lägre inkomst VD intjänar i ny verksamhet och för </w:t>
      </w:r>
      <w:r w:rsidR="009C5F07">
        <w:rPr>
          <w:rFonts w:ascii="Arial" w:hAnsi="Arial" w:cs="Arial"/>
          <w:iCs/>
          <w:sz w:val="20"/>
          <w:szCs w:val="20"/>
        </w:rPr>
        <w:t xml:space="preserve">övriga </w:t>
      </w:r>
      <w:r w:rsidR="0057190B">
        <w:rPr>
          <w:rFonts w:ascii="Arial" w:hAnsi="Arial" w:cs="Arial"/>
          <w:iCs/>
          <w:sz w:val="20"/>
          <w:szCs w:val="20"/>
        </w:rPr>
        <w:t>bolagsledning</w:t>
      </w:r>
      <w:r w:rsidR="009C5F07">
        <w:rPr>
          <w:rFonts w:ascii="Arial" w:hAnsi="Arial" w:cs="Arial"/>
          <w:iCs/>
          <w:sz w:val="20"/>
          <w:szCs w:val="20"/>
        </w:rPr>
        <w:t>en</w:t>
      </w:r>
      <w:r w:rsidRPr="009634A7">
        <w:rPr>
          <w:rFonts w:ascii="Arial" w:hAnsi="Arial" w:cs="Arial"/>
          <w:iCs/>
          <w:sz w:val="20"/>
          <w:szCs w:val="20"/>
        </w:rPr>
        <w:t xml:space="preserve"> utgöra skillnaden mellan den fasta kontantlönen vid tidpunkten för uppsägningen med avdrag för den eventuellt lägre inkomst </w:t>
      </w:r>
      <w:r w:rsidR="0057190B">
        <w:rPr>
          <w:rFonts w:ascii="Arial" w:hAnsi="Arial" w:cs="Arial"/>
          <w:iCs/>
          <w:sz w:val="20"/>
          <w:szCs w:val="20"/>
        </w:rPr>
        <w:t xml:space="preserve">den </w:t>
      </w:r>
      <w:r w:rsidR="009C37A6">
        <w:rPr>
          <w:rFonts w:ascii="Arial" w:hAnsi="Arial" w:cs="Arial"/>
          <w:iCs/>
          <w:sz w:val="20"/>
          <w:szCs w:val="20"/>
        </w:rPr>
        <w:t>tidigare befattningshavaren</w:t>
      </w:r>
      <w:r w:rsidRPr="009634A7">
        <w:rPr>
          <w:rFonts w:ascii="Arial" w:hAnsi="Arial" w:cs="Arial"/>
          <w:iCs/>
          <w:sz w:val="20"/>
          <w:szCs w:val="20"/>
        </w:rPr>
        <w:t xml:space="preserve"> intjänar i ny verksamhet, dock högst 60 procent av den fasta kontantlönen vid tidpunkten för uppsägningen. Ersättningen ska utgå under den tid som åtagandet om konkurrensbegränsning gäller, vilket ska vara högst 12 månader efter anställningens upphörande.</w:t>
      </w:r>
    </w:p>
    <w:p w14:paraId="1F80950E" w14:textId="77777777" w:rsidR="009634A7" w:rsidRPr="009634A7" w:rsidRDefault="009634A7" w:rsidP="009634A7">
      <w:pPr>
        <w:ind w:left="-5" w:right="0"/>
        <w:rPr>
          <w:rFonts w:ascii="Arial" w:hAnsi="Arial" w:cs="Arial"/>
          <w:sz w:val="20"/>
          <w:szCs w:val="20"/>
        </w:rPr>
      </w:pPr>
      <w:r w:rsidRPr="009634A7">
        <w:rPr>
          <w:rFonts w:ascii="Arial" w:hAnsi="Arial" w:cs="Arial"/>
          <w:i/>
          <w:iCs/>
          <w:sz w:val="20"/>
          <w:szCs w:val="20"/>
        </w:rPr>
        <w:t>Lön och anställningsvillkor för anställda</w:t>
      </w:r>
      <w:r w:rsidRPr="009634A7">
        <w:rPr>
          <w:rFonts w:ascii="Arial" w:hAnsi="Arial" w:cs="Arial"/>
          <w:sz w:val="20"/>
          <w:szCs w:val="20"/>
        </w:rPr>
        <w:t xml:space="preserve"> </w:t>
      </w:r>
    </w:p>
    <w:p w14:paraId="5D939625" w14:textId="1CA8499E" w:rsidR="00EA50D8" w:rsidRPr="00EA50D8" w:rsidRDefault="009634A7" w:rsidP="00EA50D8">
      <w:pPr>
        <w:ind w:left="-5" w:right="0"/>
        <w:rPr>
          <w:rFonts w:ascii="Arial" w:hAnsi="Arial" w:cs="Arial"/>
          <w:sz w:val="20"/>
          <w:szCs w:val="20"/>
        </w:rPr>
      </w:pPr>
      <w:r w:rsidRPr="009634A7">
        <w:rPr>
          <w:rFonts w:ascii="Arial" w:hAnsi="Arial" w:cs="Arial"/>
          <w:sz w:val="20"/>
          <w:szCs w:val="20"/>
        </w:rPr>
        <w:t>Vid beredningen av styrelsens förslag till dessa ersättningsriktlinjer har lön och anställningsvillkor för bolagets anställda beaktats genom att uppgifter om anställdas totalersättning, ersättningens komponenter samt ersättningens ökning och ökningstakt över tid har utgjort en del av</w:t>
      </w:r>
      <w:r w:rsidR="00EA50D8" w:rsidRPr="00EA50D8">
        <w:rPr>
          <w:rFonts w:ascii="Arial" w:hAnsi="Arial" w:cs="Arial"/>
          <w:sz w:val="20"/>
          <w:szCs w:val="20"/>
        </w:rPr>
        <w:t xml:space="preserve"> ersättningsutskottets och styrelsens beslutsunderlag vid utvärderingen av skäligheten av riktlinjerna och de begränsningar som följer av dessa. </w:t>
      </w:r>
    </w:p>
    <w:p w14:paraId="01F3EDED" w14:textId="77777777" w:rsidR="00EA50D8" w:rsidRPr="00EA50D8" w:rsidRDefault="00EA50D8" w:rsidP="00EA50D8">
      <w:pPr>
        <w:ind w:left="-5" w:right="0"/>
        <w:rPr>
          <w:rFonts w:ascii="Arial" w:hAnsi="Arial" w:cs="Arial"/>
          <w:i/>
          <w:sz w:val="20"/>
          <w:szCs w:val="20"/>
        </w:rPr>
      </w:pPr>
      <w:r w:rsidRPr="00EA50D8">
        <w:rPr>
          <w:rFonts w:ascii="Arial" w:hAnsi="Arial" w:cs="Arial"/>
          <w:i/>
          <w:sz w:val="20"/>
          <w:szCs w:val="20"/>
        </w:rPr>
        <w:t xml:space="preserve">Beslutsprocessen för att fastställa, se över och genomföra riktlinjerna </w:t>
      </w:r>
    </w:p>
    <w:p w14:paraId="05FB4078" w14:textId="77777777" w:rsidR="00EA50D8" w:rsidRPr="00EA50D8" w:rsidRDefault="00EA50D8" w:rsidP="00EA50D8">
      <w:pPr>
        <w:ind w:left="-5" w:right="0"/>
        <w:rPr>
          <w:rFonts w:ascii="Arial" w:hAnsi="Arial" w:cs="Arial"/>
          <w:sz w:val="20"/>
          <w:szCs w:val="20"/>
        </w:rPr>
      </w:pPr>
      <w:r w:rsidRPr="00EA50D8">
        <w:rPr>
          <w:rFonts w:ascii="Arial" w:hAnsi="Arial" w:cs="Arial"/>
          <w:sz w:val="20"/>
          <w:szCs w:val="20"/>
        </w:rPr>
        <w:t xml:space="preserve">Styrelsen har inrättat ett ersättningsutskott. I utskottets uppgifter ingår att bereda styrelsens beslut om förslag till riktlinjer för ersättning till ledande befattningshavare. Styrelsen ska upprätta förslag till nya riktlinjer åtminstone vart fjärde år och lägga fram förslaget för beslut vid årsstämman. Riktlinjerna ska gälla till dess att nya riktlinjer antagits av bolagsstämman. Ersättningsutskottet ska även i tillämpliga fall följa och utvärdera program för rörliga ersättningar för bolagsledningen, tillämpningen av riktlinjer för ersättning till ledande befattningshavare samt gällande ersättningsstrukturer och ersättningsnivåer i bolaget. Styrelsens ordförande är ordförande i ersättningsutskottet. Ersättningsutskottets övriga ledamöter är oberoende i förhållande till bolaget och bolagsledningen. Vid styrelsens behandling av och beslut i ersättningsrelaterade frågor närvarar inte verkställande direktören eller andra personer i bolagsledningen, i den mån de berörs av frågorna.   </w:t>
      </w:r>
    </w:p>
    <w:p w14:paraId="12E4E4E2" w14:textId="77777777" w:rsidR="00EA50D8" w:rsidRPr="00EA50D8" w:rsidRDefault="00EA50D8" w:rsidP="00EA50D8">
      <w:pPr>
        <w:ind w:left="-5" w:right="0"/>
        <w:rPr>
          <w:rFonts w:ascii="Arial" w:hAnsi="Arial" w:cs="Arial"/>
          <w:i/>
          <w:iCs/>
          <w:sz w:val="20"/>
          <w:szCs w:val="20"/>
        </w:rPr>
      </w:pPr>
      <w:r w:rsidRPr="00EA50D8">
        <w:rPr>
          <w:rFonts w:ascii="Arial" w:hAnsi="Arial" w:cs="Arial"/>
          <w:i/>
          <w:iCs/>
          <w:sz w:val="20"/>
          <w:szCs w:val="20"/>
        </w:rPr>
        <w:t>Ersättning till styrelseledamöter</w:t>
      </w:r>
    </w:p>
    <w:p w14:paraId="722D7FCA" w14:textId="77777777" w:rsidR="00EA50D8" w:rsidRDefault="00EA50D8" w:rsidP="00EA50D8">
      <w:pPr>
        <w:ind w:left="-5" w:right="0"/>
        <w:rPr>
          <w:rFonts w:ascii="Arial" w:hAnsi="Arial" w:cs="Arial"/>
          <w:sz w:val="20"/>
          <w:szCs w:val="20"/>
        </w:rPr>
      </w:pPr>
      <w:r w:rsidRPr="00EA50D8">
        <w:rPr>
          <w:rFonts w:ascii="Arial" w:hAnsi="Arial" w:cs="Arial"/>
          <w:sz w:val="20"/>
          <w:szCs w:val="20"/>
        </w:rPr>
        <w:t>Stämmovalda styrelseledamöter kan i undantagsfall komma att anlitas för att utföra arbete som går utöver styrelsearbetet och då ska de kunna arvoderas för sådant arbete. Arbetsinsatser som kan komma ifråga är arbetsuppgifter där bolaget saknar intern kompetens eller resurs. Vidare får endast operationella och inte strategiska arbetsinsatser ifrågakomma och dessa får inte heller inkräkta på bolagsledningens sysslor eller på annat sätt strida mot aktiebolagslagen eller Svensk kod för bolagsstyrning. Ersättningen ska vara marknadsmässig och ska godkännas av styrelsen utan berörd styrelseledamots deltagande i beredning av förslag eller beslut.</w:t>
      </w:r>
    </w:p>
    <w:p w14:paraId="2D0FC60B" w14:textId="77777777" w:rsidR="00CF15F2" w:rsidRPr="00EA50D8" w:rsidRDefault="00CF15F2" w:rsidP="00EA50D8">
      <w:pPr>
        <w:ind w:left="-5" w:right="0"/>
        <w:rPr>
          <w:rFonts w:ascii="Arial" w:hAnsi="Arial" w:cs="Arial"/>
          <w:sz w:val="20"/>
          <w:szCs w:val="20"/>
        </w:rPr>
      </w:pPr>
    </w:p>
    <w:p w14:paraId="568C6733" w14:textId="77777777" w:rsidR="00EA50D8" w:rsidRPr="00EA50D8" w:rsidRDefault="00EA50D8" w:rsidP="00EA50D8">
      <w:pPr>
        <w:ind w:left="-5" w:right="0"/>
        <w:rPr>
          <w:rFonts w:ascii="Arial" w:hAnsi="Arial" w:cs="Arial"/>
          <w:i/>
          <w:sz w:val="20"/>
          <w:szCs w:val="20"/>
        </w:rPr>
      </w:pPr>
      <w:r w:rsidRPr="00EA50D8">
        <w:rPr>
          <w:rFonts w:ascii="Arial" w:hAnsi="Arial" w:cs="Arial"/>
          <w:i/>
          <w:sz w:val="20"/>
          <w:szCs w:val="20"/>
        </w:rPr>
        <w:lastRenderedPageBreak/>
        <w:t xml:space="preserve">Frångående av riktlinjerna </w:t>
      </w:r>
    </w:p>
    <w:p w14:paraId="20F8B622" w14:textId="49C21CEA" w:rsidR="00AE15E7" w:rsidRDefault="00EA50D8" w:rsidP="002708E0">
      <w:pPr>
        <w:ind w:left="-5" w:right="0"/>
        <w:rPr>
          <w:rFonts w:ascii="Arial" w:hAnsi="Arial" w:cs="Arial"/>
          <w:sz w:val="20"/>
          <w:szCs w:val="20"/>
        </w:rPr>
      </w:pPr>
      <w:r w:rsidRPr="00EA50D8">
        <w:rPr>
          <w:rFonts w:ascii="Arial" w:hAnsi="Arial" w:cs="Arial"/>
          <w:sz w:val="20"/>
          <w:szCs w:val="20"/>
        </w:rPr>
        <w:t xml:space="preserve">Styrelsen får besluta att tillfälligt frångå riktlinjerna helt eller delvis, om det i ett enskilt fall finns särskilda skäl för det och ett avsteg är nödvändigt för att tillgodose bolagets långsiktiga intressen, inklusive dess hållbarhet, eller för att säkerställa bolagets ekonomiska bärkraft. Som angivits ovan ingår det i ersättningsutskottets uppgifter att bereda styrelsens beslut i ersättningsfrågor, vilket innefattar beslut om avsteg från riktlinjerna. </w:t>
      </w:r>
    </w:p>
    <w:p w14:paraId="56029913" w14:textId="77777777" w:rsidR="00942292" w:rsidRPr="002708E0" w:rsidRDefault="00942292" w:rsidP="00F95AB2">
      <w:pPr>
        <w:ind w:left="0" w:right="0" w:firstLine="0"/>
        <w:rPr>
          <w:rFonts w:ascii="Arial" w:hAnsi="Arial" w:cs="Arial"/>
          <w:sz w:val="20"/>
          <w:szCs w:val="20"/>
        </w:rPr>
      </w:pPr>
    </w:p>
    <w:p w14:paraId="43882CBB" w14:textId="77777777" w:rsidR="00AE15E7" w:rsidRPr="00AE15E7" w:rsidRDefault="00AE15E7" w:rsidP="00AE15E7">
      <w:pPr>
        <w:widowControl w:val="0"/>
        <w:autoSpaceDE w:val="0"/>
        <w:autoSpaceDN w:val="0"/>
        <w:spacing w:before="46" w:after="0" w:line="290" w:lineRule="auto"/>
        <w:ind w:left="0" w:right="840" w:firstLine="0"/>
        <w:jc w:val="center"/>
        <w:rPr>
          <w:rFonts w:ascii="Arial" w:hAnsi="Arial" w:cs="Arial"/>
          <w:color w:val="auto"/>
          <w:w w:val="105"/>
          <w:sz w:val="19"/>
          <w:szCs w:val="19"/>
          <w:lang w:eastAsia="en-US"/>
        </w:rPr>
      </w:pPr>
      <w:r w:rsidRPr="00AE15E7">
        <w:rPr>
          <w:rFonts w:ascii="Arial" w:hAnsi="Arial" w:cs="Arial"/>
          <w:noProof/>
          <w:color w:val="auto"/>
          <w:w w:val="105"/>
          <w:sz w:val="19"/>
          <w:szCs w:val="19"/>
        </w:rPr>
        <mc:AlternateContent>
          <mc:Choice Requires="wps">
            <w:drawing>
              <wp:inline distT="0" distB="0" distL="0" distR="0" wp14:anchorId="53D0CE0C" wp14:editId="0C7D93F4">
                <wp:extent cx="1765935" cy="0"/>
                <wp:effectExtent l="0" t="0" r="24765" b="19050"/>
                <wp:docPr id="9" name="Ra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935" cy="0"/>
                        </a:xfrm>
                        <a:prstGeom prst="line">
                          <a:avLst/>
                        </a:prstGeom>
                        <a:noFill/>
                        <a:ln w="79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75C79B9" id="Rak 9" o:spid="_x0000_s1026" style="visibility:visible;mso-wrap-style:square;mso-left-percent:-10001;mso-top-percent:-10001;mso-position-horizontal:absolute;mso-position-horizontal-relative:char;mso-position-vertical:absolute;mso-position-vertical-relative:line;mso-left-percent:-10001;mso-top-percent:-10001" from="0,0" to="1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" strokeweight=".22036mm">
                <w10:anchorlock/>
              </v:line>
            </w:pict>
          </mc:Fallback>
        </mc:AlternateContent>
      </w:r>
    </w:p>
    <w:p w14:paraId="5A28C9A4" w14:textId="77777777" w:rsidR="00AE15E7" w:rsidRPr="00AE15E7" w:rsidRDefault="00AE15E7" w:rsidP="00AE15E7">
      <w:pPr>
        <w:widowControl w:val="0"/>
        <w:autoSpaceDE w:val="0"/>
        <w:autoSpaceDN w:val="0"/>
        <w:spacing w:before="46" w:after="0" w:line="290" w:lineRule="auto"/>
        <w:ind w:left="0" w:right="840" w:firstLine="0"/>
        <w:jc w:val="center"/>
        <w:rPr>
          <w:rFonts w:ascii="Arial" w:hAnsi="Arial" w:cs="Arial"/>
          <w:color w:val="auto"/>
          <w:w w:val="105"/>
          <w:sz w:val="19"/>
          <w:szCs w:val="19"/>
          <w:lang w:eastAsia="en-US"/>
        </w:rPr>
      </w:pPr>
    </w:p>
    <w:p w14:paraId="69CC6BE5" w14:textId="6B9629C7" w:rsidR="00AE15E7" w:rsidRPr="00AE15E7" w:rsidRDefault="00AE15E7" w:rsidP="00AE15E7">
      <w:pPr>
        <w:widowControl w:val="0"/>
        <w:autoSpaceDE w:val="0"/>
        <w:autoSpaceDN w:val="0"/>
        <w:spacing w:before="46" w:after="0" w:line="290" w:lineRule="auto"/>
        <w:ind w:left="0" w:right="840" w:firstLine="0"/>
        <w:jc w:val="center"/>
        <w:rPr>
          <w:rFonts w:ascii="Arial" w:hAnsi="Arial" w:cs="Arial"/>
          <w:color w:val="auto"/>
          <w:w w:val="105"/>
          <w:sz w:val="19"/>
          <w:szCs w:val="19"/>
          <w:lang w:eastAsia="en-US"/>
        </w:rPr>
      </w:pPr>
      <w:r w:rsidRPr="00AE15E7">
        <w:rPr>
          <w:rFonts w:ascii="Arial" w:hAnsi="Arial" w:cs="Arial"/>
          <w:color w:val="auto"/>
          <w:w w:val="105"/>
          <w:sz w:val="19"/>
          <w:szCs w:val="19"/>
          <w:lang w:eastAsia="en-US"/>
        </w:rPr>
        <w:t xml:space="preserve">Göteborg i </w:t>
      </w:r>
      <w:r w:rsidR="00584F41">
        <w:rPr>
          <w:rFonts w:ascii="Arial" w:hAnsi="Arial" w:cs="Arial"/>
          <w:color w:val="auto"/>
          <w:w w:val="105"/>
          <w:sz w:val="19"/>
          <w:szCs w:val="19"/>
          <w:lang w:eastAsia="en-US"/>
        </w:rPr>
        <w:t>mars</w:t>
      </w:r>
      <w:r w:rsidRPr="00AE15E7">
        <w:rPr>
          <w:rFonts w:ascii="Arial" w:hAnsi="Arial" w:cs="Arial"/>
          <w:color w:val="auto"/>
          <w:w w:val="105"/>
          <w:sz w:val="19"/>
          <w:szCs w:val="19"/>
          <w:lang w:eastAsia="en-US"/>
        </w:rPr>
        <w:t xml:space="preserve"> 20</w:t>
      </w:r>
      <w:r>
        <w:rPr>
          <w:rFonts w:ascii="Arial" w:hAnsi="Arial" w:cs="Arial"/>
          <w:color w:val="auto"/>
          <w:w w:val="105"/>
          <w:sz w:val="19"/>
          <w:szCs w:val="19"/>
          <w:lang w:eastAsia="en-US"/>
        </w:rPr>
        <w:t>2</w:t>
      </w:r>
      <w:r w:rsidR="006D4B7A">
        <w:rPr>
          <w:rFonts w:ascii="Arial" w:hAnsi="Arial" w:cs="Arial"/>
          <w:color w:val="auto"/>
          <w:w w:val="105"/>
          <w:sz w:val="19"/>
          <w:szCs w:val="19"/>
          <w:lang w:eastAsia="en-US"/>
        </w:rPr>
        <w:t>6</w:t>
      </w:r>
    </w:p>
    <w:p w14:paraId="62542FCB" w14:textId="5185341D" w:rsidR="00AE15E7" w:rsidRPr="00AE15E7" w:rsidRDefault="00EA6957" w:rsidP="00AE15E7">
      <w:pPr>
        <w:widowControl w:val="0"/>
        <w:autoSpaceDE w:val="0"/>
        <w:autoSpaceDN w:val="0"/>
        <w:spacing w:before="46" w:after="0" w:line="290" w:lineRule="auto"/>
        <w:ind w:left="0" w:right="840" w:firstLine="0"/>
        <w:jc w:val="center"/>
        <w:rPr>
          <w:rFonts w:ascii="Arial" w:hAnsi="Arial" w:cs="Arial"/>
          <w:color w:val="auto"/>
          <w:w w:val="105"/>
          <w:sz w:val="19"/>
          <w:szCs w:val="19"/>
          <w:lang w:eastAsia="en-US"/>
        </w:rPr>
      </w:pPr>
      <w:r>
        <w:rPr>
          <w:rFonts w:ascii="Arial" w:hAnsi="Arial" w:cs="Arial"/>
          <w:color w:val="auto"/>
          <w:w w:val="105"/>
          <w:sz w:val="19"/>
          <w:szCs w:val="19"/>
          <w:lang w:eastAsia="en-US"/>
        </w:rPr>
        <w:t>Norion Bank AB (</w:t>
      </w:r>
      <w:proofErr w:type="spellStart"/>
      <w:r>
        <w:rPr>
          <w:rFonts w:ascii="Arial" w:hAnsi="Arial" w:cs="Arial"/>
          <w:color w:val="auto"/>
          <w:w w:val="105"/>
          <w:sz w:val="19"/>
          <w:szCs w:val="19"/>
          <w:lang w:eastAsia="en-US"/>
        </w:rPr>
        <w:t>publ</w:t>
      </w:r>
      <w:proofErr w:type="spellEnd"/>
      <w:r>
        <w:rPr>
          <w:rFonts w:ascii="Arial" w:hAnsi="Arial" w:cs="Arial"/>
          <w:color w:val="auto"/>
          <w:w w:val="105"/>
          <w:sz w:val="19"/>
          <w:szCs w:val="19"/>
          <w:lang w:eastAsia="en-US"/>
        </w:rPr>
        <w:t>)</w:t>
      </w:r>
    </w:p>
    <w:p w14:paraId="042B5126" w14:textId="0970A090" w:rsidR="00AE15E7" w:rsidRPr="002708E0" w:rsidRDefault="00AE15E7" w:rsidP="002708E0">
      <w:pPr>
        <w:widowControl w:val="0"/>
        <w:autoSpaceDE w:val="0"/>
        <w:autoSpaceDN w:val="0"/>
        <w:spacing w:before="46" w:after="0" w:line="290" w:lineRule="auto"/>
        <w:ind w:left="0" w:right="840" w:firstLine="0"/>
        <w:jc w:val="center"/>
        <w:rPr>
          <w:rFonts w:ascii="Arial" w:hAnsi="Arial" w:cs="Arial"/>
          <w:color w:val="auto"/>
          <w:sz w:val="19"/>
          <w:szCs w:val="19"/>
          <w:lang w:eastAsia="en-US"/>
        </w:rPr>
      </w:pPr>
      <w:r w:rsidRPr="00AE15E7">
        <w:rPr>
          <w:rFonts w:ascii="Arial" w:hAnsi="Arial" w:cs="Arial"/>
          <w:color w:val="auto"/>
          <w:w w:val="105"/>
          <w:sz w:val="19"/>
          <w:szCs w:val="19"/>
          <w:lang w:eastAsia="en-US"/>
        </w:rPr>
        <w:t>Styrelsen</w:t>
      </w:r>
    </w:p>
    <w:sectPr w:rsidR="00AE15E7" w:rsidRPr="002708E0">
      <w:headerReference w:type="even" r:id="rId7"/>
      <w:headerReference w:type="default" r:id="rId8"/>
      <w:footerReference w:type="even" r:id="rId9"/>
      <w:footerReference w:type="default" r:id="rId10"/>
      <w:headerReference w:type="first" r:id="rId11"/>
      <w:footerReference w:type="first" r:id="rId12"/>
      <w:pgSz w:w="11900" w:h="16840"/>
      <w:pgMar w:top="1451" w:right="1407" w:bottom="1419" w:left="1416"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009C" w14:textId="77777777" w:rsidR="00780614" w:rsidRDefault="00780614">
      <w:pPr>
        <w:spacing w:after="0" w:line="240" w:lineRule="auto"/>
      </w:pPr>
      <w:r>
        <w:separator/>
      </w:r>
    </w:p>
  </w:endnote>
  <w:endnote w:type="continuationSeparator" w:id="0">
    <w:p w14:paraId="7FDDA8BC" w14:textId="77777777" w:rsidR="00780614" w:rsidRDefault="0078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0D09" w14:textId="10B1A3EE" w:rsidR="00DD4FCB" w:rsidRDefault="00DD4FCB">
    <w:pPr>
      <w:pStyle w:val="Sidfot"/>
    </w:pPr>
    <w:r>
      <w:rPr>
        <w:noProof/>
      </w:rPr>
      <mc:AlternateContent>
        <mc:Choice Requires="wps">
          <w:drawing>
            <wp:anchor distT="0" distB="0" distL="0" distR="0" simplePos="0" relativeHeight="251661312" behindDoc="0" locked="0" layoutInCell="1" allowOverlap="1" wp14:anchorId="09EA8A27" wp14:editId="59DF3AAA">
              <wp:simplePos x="635" y="635"/>
              <wp:positionH relativeFrom="page">
                <wp:align>left</wp:align>
              </wp:positionH>
              <wp:positionV relativeFrom="page">
                <wp:align>bottom</wp:align>
              </wp:positionV>
              <wp:extent cx="1786255" cy="364490"/>
              <wp:effectExtent l="0" t="0" r="4445" b="0"/>
              <wp:wrapNone/>
              <wp:docPr id="1238523834" name="Textruta 2"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255" cy="364490"/>
                      </a:xfrm>
                      <a:prstGeom prst="rect">
                        <a:avLst/>
                      </a:prstGeom>
                      <a:noFill/>
                      <a:ln>
                        <a:noFill/>
                      </a:ln>
                    </wps:spPr>
                    <wps:txbx>
                      <w:txbxContent>
                        <w:p w14:paraId="73008716" w14:textId="764B517F" w:rsidR="00DD4FCB" w:rsidRPr="00DD4FCB" w:rsidRDefault="00DD4FCB" w:rsidP="00DD4FCB">
                          <w:pPr>
                            <w:spacing w:after="0"/>
                            <w:rPr>
                              <w:noProof/>
                              <w:sz w:val="20"/>
                              <w:szCs w:val="20"/>
                            </w:rPr>
                          </w:pPr>
                          <w:r w:rsidRPr="00DD4FCB">
                            <w:rPr>
                              <w:noProof/>
                              <w:sz w:val="20"/>
                              <w:szCs w:val="20"/>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EA8A27" id="_x0000_t202" coordsize="21600,21600" o:spt="202" path="m,l,21600r21600,l21600,xe">
              <v:stroke joinstyle="miter"/>
              <v:path gradientshapeok="t" o:connecttype="rect"/>
            </v:shapetype>
            <v:shape id="Textruta 2" o:spid="_x0000_s1026" type="#_x0000_t202" alt="Classified as Business Internal" style="position:absolute;left:0;text-align:left;margin-left:0;margin-top:0;width:140.65pt;height:28.7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" filled="f" stroked="f">
              <v:textbox style="mso-fit-shape-to-text:t" inset="20pt,0,0,15pt">
                <w:txbxContent>
                  <w:p w14:paraId="73008716" w14:textId="764B517F" w:rsidR="00DD4FCB" w:rsidRPr="00DD4FCB" w:rsidRDefault="00DD4FCB" w:rsidP="00DD4FCB">
                    <w:pPr>
                      <w:spacing w:after="0"/>
                      <w:rPr>
                        <w:noProof/>
                        <w:sz w:val="20"/>
                        <w:szCs w:val="20"/>
                      </w:rPr>
                    </w:pPr>
                    <w:r w:rsidRPr="00DD4FCB">
                      <w:rPr>
                        <w:noProof/>
                        <w:sz w:val="20"/>
                        <w:szCs w:val="20"/>
                      </w:rPr>
                      <w:t>Classified as Business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7C48" w14:textId="4DF0FF50" w:rsidR="00942292" w:rsidRDefault="00DD4FCB" w:rsidP="00942292">
    <w:pPr>
      <w:pStyle w:val="Collectorbrdtext"/>
    </w:pPr>
    <w:r>
      <w:rPr>
        <w:noProof/>
      </w:rPr>
      <mc:AlternateContent>
        <mc:Choice Requires="wps">
          <w:drawing>
            <wp:anchor distT="0" distB="0" distL="0" distR="0" simplePos="0" relativeHeight="251662336" behindDoc="0" locked="0" layoutInCell="1" allowOverlap="1" wp14:anchorId="317F76AE" wp14:editId="310D0BBD">
              <wp:simplePos x="899160" y="9966960"/>
              <wp:positionH relativeFrom="page">
                <wp:align>left</wp:align>
              </wp:positionH>
              <wp:positionV relativeFrom="page">
                <wp:align>bottom</wp:align>
              </wp:positionV>
              <wp:extent cx="1786255" cy="364490"/>
              <wp:effectExtent l="0" t="0" r="4445" b="0"/>
              <wp:wrapNone/>
              <wp:docPr id="142044349" name="Textruta 3"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255" cy="364490"/>
                      </a:xfrm>
                      <a:prstGeom prst="rect">
                        <a:avLst/>
                      </a:prstGeom>
                      <a:noFill/>
                      <a:ln>
                        <a:noFill/>
                      </a:ln>
                    </wps:spPr>
                    <wps:txbx>
                      <w:txbxContent>
                        <w:p w14:paraId="247A9C66" w14:textId="68B74CA0" w:rsidR="00DD4FCB" w:rsidRPr="00DD4FCB" w:rsidRDefault="00DD4FCB" w:rsidP="00DD4FCB">
                          <w:pPr>
                            <w:spacing w:after="0"/>
                            <w:rPr>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7F76AE" id="_x0000_t202" coordsize="21600,21600" o:spt="202" path="m,l,21600r21600,l21600,xe">
              <v:stroke joinstyle="miter"/>
              <v:path gradientshapeok="t" o:connecttype="rect"/>
            </v:shapetype>
            <v:shape id="Textruta 3" o:spid="_x0000_s1027" type="#_x0000_t202" alt="Classified as Business Internal" style="position:absolute;margin-left:0;margin-top:0;width:140.65pt;height:28.7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" filled="f" stroked="f">
              <v:textbox style="mso-fit-shape-to-text:t" inset="20pt,0,0,15pt">
                <w:txbxContent>
                  <w:p w14:paraId="247A9C66" w14:textId="68B74CA0" w:rsidR="00DD4FCB" w:rsidRPr="00DD4FCB" w:rsidRDefault="00DD4FCB" w:rsidP="00DD4FCB">
                    <w:pPr>
                      <w:spacing w:after="0"/>
                      <w:rPr>
                        <w:noProof/>
                        <w:sz w:val="20"/>
                        <w:szCs w:val="20"/>
                      </w:rPr>
                    </w:pPr>
                  </w:p>
                </w:txbxContent>
              </v:textbox>
              <w10:wrap anchorx="page" anchory="page"/>
            </v:shape>
          </w:pict>
        </mc:Fallback>
      </mc:AlternateContent>
    </w:r>
    <w:r w:rsidR="00942292">
      <w:rPr>
        <w:noProof/>
      </w:rPr>
      <w:drawing>
        <wp:inline distT="0" distB="0" distL="0" distR="0" wp14:anchorId="78D2E9FE" wp14:editId="4E67AC8F">
          <wp:extent cx="5834380" cy="12065"/>
          <wp:effectExtent l="0" t="0" r="0" b="0"/>
          <wp:docPr id="210767395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380" cy="12065"/>
                  </a:xfrm>
                  <a:prstGeom prst="rect">
                    <a:avLst/>
                  </a:prstGeom>
                  <a:noFill/>
                </pic:spPr>
              </pic:pic>
            </a:graphicData>
          </a:graphic>
        </wp:inline>
      </w:drawing>
    </w:r>
  </w:p>
  <w:p w14:paraId="060494F3" w14:textId="77777777" w:rsidR="00942292" w:rsidRPr="00BB281B" w:rsidRDefault="00942292" w:rsidP="00942292">
    <w:pPr>
      <w:pStyle w:val="SidfotCollector"/>
      <w:rPr>
        <w:lang w:val="en-US"/>
      </w:rPr>
    </w:pPr>
    <w:r>
      <w:rPr>
        <w:lang w:val="en-US"/>
      </w:rPr>
      <w:t>Norion Bank AB (</w:t>
    </w:r>
    <w:proofErr w:type="spellStart"/>
    <w:r>
      <w:rPr>
        <w:lang w:val="en-US"/>
      </w:rPr>
      <w:t>publ</w:t>
    </w:r>
    <w:proofErr w:type="spellEnd"/>
    <w:r>
      <w:rPr>
        <w:lang w:val="en-US"/>
      </w:rPr>
      <w:t xml:space="preserve">) </w:t>
    </w:r>
    <w:r w:rsidRPr="00832A2D">
      <w:rPr>
        <w:lang w:val="en-US"/>
      </w:rPr>
      <w:t>556597-0513</w:t>
    </w:r>
    <w:r>
      <w:rPr>
        <w:lang w:val="en-US"/>
      </w:rPr>
      <w:t xml:space="preserve"> | </w:t>
    </w:r>
    <w:r w:rsidRPr="00BB281B">
      <w:rPr>
        <w:lang w:val="en-US"/>
      </w:rPr>
      <w:t>Box 119</w:t>
    </w:r>
    <w:r>
      <w:rPr>
        <w:lang w:val="en-US"/>
      </w:rPr>
      <w:t xml:space="preserve"> 14, 404 39 Gothenburg, Sweden | </w:t>
    </w:r>
    <w:r w:rsidRPr="00BB281B">
      <w:rPr>
        <w:lang w:val="en-US"/>
      </w:rPr>
      <w:t>www.</w:t>
    </w:r>
    <w:r>
      <w:rPr>
        <w:lang w:val="en-US"/>
      </w:rPr>
      <w:t>norionbank</w:t>
    </w:r>
    <w:r w:rsidRPr="00BB281B">
      <w:rPr>
        <w:lang w:val="en-US"/>
      </w:rPr>
      <w:t>.se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F1E3" w14:textId="386677F4" w:rsidR="00DD4FCB" w:rsidRDefault="00DD4FCB">
    <w:pPr>
      <w:pStyle w:val="Sidfot"/>
    </w:pPr>
    <w:r>
      <w:rPr>
        <w:noProof/>
      </w:rPr>
      <mc:AlternateContent>
        <mc:Choice Requires="wps">
          <w:drawing>
            <wp:anchor distT="0" distB="0" distL="0" distR="0" simplePos="0" relativeHeight="251660288" behindDoc="0" locked="0" layoutInCell="1" allowOverlap="1" wp14:anchorId="4E14961E" wp14:editId="2258F53A">
              <wp:simplePos x="635" y="635"/>
              <wp:positionH relativeFrom="page">
                <wp:align>left</wp:align>
              </wp:positionH>
              <wp:positionV relativeFrom="page">
                <wp:align>bottom</wp:align>
              </wp:positionV>
              <wp:extent cx="1786255" cy="364490"/>
              <wp:effectExtent l="0" t="0" r="4445" b="0"/>
              <wp:wrapNone/>
              <wp:docPr id="56144067" name="Textruta 1"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255" cy="364490"/>
                      </a:xfrm>
                      <a:prstGeom prst="rect">
                        <a:avLst/>
                      </a:prstGeom>
                      <a:noFill/>
                      <a:ln>
                        <a:noFill/>
                      </a:ln>
                    </wps:spPr>
                    <wps:txbx>
                      <w:txbxContent>
                        <w:p w14:paraId="02215571" w14:textId="53D76E8C" w:rsidR="00DD4FCB" w:rsidRPr="00DD4FCB" w:rsidRDefault="00DD4FCB" w:rsidP="00DD4FCB">
                          <w:pPr>
                            <w:spacing w:after="0"/>
                            <w:rPr>
                              <w:noProof/>
                              <w:sz w:val="20"/>
                              <w:szCs w:val="20"/>
                            </w:rPr>
                          </w:pPr>
                          <w:r w:rsidRPr="00DD4FCB">
                            <w:rPr>
                              <w:noProof/>
                              <w:sz w:val="20"/>
                              <w:szCs w:val="20"/>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4961E" id="_x0000_t202" coordsize="21600,21600" o:spt="202" path="m,l,21600r21600,l21600,xe">
              <v:stroke joinstyle="miter"/>
              <v:path gradientshapeok="t" o:connecttype="rect"/>
            </v:shapetype>
            <v:shape id="Textruta 1" o:spid="_x0000_s1028" type="#_x0000_t202" alt="Classified as Business Internal" style="position:absolute;left:0;text-align:left;margin-left:0;margin-top:0;width:140.65pt;height:28.7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" filled="f" stroked="f">
              <v:textbox style="mso-fit-shape-to-text:t" inset="20pt,0,0,15pt">
                <w:txbxContent>
                  <w:p w14:paraId="02215571" w14:textId="53D76E8C" w:rsidR="00DD4FCB" w:rsidRPr="00DD4FCB" w:rsidRDefault="00DD4FCB" w:rsidP="00DD4FCB">
                    <w:pPr>
                      <w:spacing w:after="0"/>
                      <w:rPr>
                        <w:noProof/>
                        <w:sz w:val="20"/>
                        <w:szCs w:val="20"/>
                      </w:rPr>
                    </w:pPr>
                    <w:r w:rsidRPr="00DD4FCB">
                      <w:rPr>
                        <w:noProof/>
                        <w:sz w:val="20"/>
                        <w:szCs w:val="20"/>
                      </w:rPr>
                      <w:t>Classified as Business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9B51" w14:textId="77777777" w:rsidR="00780614" w:rsidRDefault="00780614">
      <w:pPr>
        <w:spacing w:after="0" w:line="245" w:lineRule="auto"/>
        <w:ind w:left="0" w:right="4" w:firstLine="0"/>
      </w:pPr>
      <w:r>
        <w:separator/>
      </w:r>
    </w:p>
  </w:footnote>
  <w:footnote w:type="continuationSeparator" w:id="0">
    <w:p w14:paraId="2F33C3AE" w14:textId="77777777" w:rsidR="00780614" w:rsidRDefault="00780614">
      <w:pPr>
        <w:spacing w:after="0" w:line="245" w:lineRule="auto"/>
        <w:ind w:left="0" w:right="4"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95E9" w14:textId="77777777" w:rsidR="005A355A" w:rsidRDefault="00D52865">
    <w:pPr>
      <w:spacing w:after="0" w:line="259" w:lineRule="auto"/>
      <w:ind w:left="0" w:right="4" w:firstLine="0"/>
      <w:jc w:val="right"/>
    </w:pPr>
    <w:r>
      <w:t xml:space="preserve">VERSION 1 – 31 OKTOBER 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DB25" w14:textId="7671C77D" w:rsidR="00F53716" w:rsidRDefault="00942292" w:rsidP="00F53716">
    <w:pPr>
      <w:pStyle w:val="Rubrik"/>
      <w:kinsoku w:val="0"/>
      <w:overflowPunct w:val="0"/>
      <w:rPr>
        <w:b w:val="0"/>
        <w:bCs w:val="0"/>
        <w:i w:val="0"/>
        <w:iCs w:val="0"/>
        <w:spacing w:val="66"/>
        <w:sz w:val="20"/>
        <w:szCs w:val="20"/>
      </w:rPr>
    </w:pPr>
    <w:r>
      <w:rPr>
        <w:noProof/>
      </w:rPr>
      <w:drawing>
        <wp:anchor distT="0" distB="0" distL="114300" distR="114300" simplePos="0" relativeHeight="251659264" behindDoc="0" locked="0" layoutInCell="1" allowOverlap="1" wp14:anchorId="05FEF9CE" wp14:editId="41891CCE">
          <wp:simplePos x="0" y="0"/>
          <wp:positionH relativeFrom="column">
            <wp:posOffset>4316288</wp:posOffset>
          </wp:positionH>
          <wp:positionV relativeFrom="paragraph">
            <wp:posOffset>-55659</wp:posOffset>
          </wp:positionV>
          <wp:extent cx="1861185" cy="233680"/>
          <wp:effectExtent l="0" t="0" r="5715" b="0"/>
          <wp:wrapNone/>
          <wp:docPr id="1145382334" name="Picture 114538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9298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6" t="-1407" r="-1366" b="-1407"/>
                  <a:stretch/>
                </pic:blipFill>
                <pic:spPr bwMode="auto">
                  <a:xfrm>
                    <a:off x="0" y="0"/>
                    <a:ext cx="1861185" cy="233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3716">
      <w:rPr>
        <w:b w:val="0"/>
        <w:bCs w:val="0"/>
        <w:i w:val="0"/>
        <w:iCs w:val="0"/>
        <w:spacing w:val="88"/>
        <w:sz w:val="20"/>
        <w:szCs w:val="20"/>
      </w:rPr>
      <w:t xml:space="preserve"> </w:t>
    </w:r>
    <w:r w:rsidR="00F53716">
      <w:rPr>
        <w:b w:val="0"/>
        <w:bCs w:val="0"/>
        <w:i w:val="0"/>
        <w:iCs w:val="0"/>
        <w:spacing w:val="66"/>
        <w:sz w:val="20"/>
        <w:szCs w:val="20"/>
      </w:rPr>
      <w:t xml:space="preserve"> </w:t>
    </w:r>
  </w:p>
  <w:p w14:paraId="242204EB" w14:textId="77777777" w:rsidR="00F53716" w:rsidRPr="00C8003C" w:rsidRDefault="00F53716" w:rsidP="00F53716">
    <w:pPr>
      <w:pStyle w:val="Sidhuvud"/>
      <w:rPr>
        <w:rFonts w:cs="Arial"/>
      </w:rPr>
    </w:pPr>
  </w:p>
  <w:p w14:paraId="4C7371A5" w14:textId="16BC1AA5" w:rsidR="005A355A" w:rsidRDefault="005A355A">
    <w:pPr>
      <w:spacing w:after="0" w:line="259" w:lineRule="auto"/>
      <w:ind w:left="0" w:right="4"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88E8" w14:textId="77777777" w:rsidR="005A355A" w:rsidRDefault="00D52865">
    <w:pPr>
      <w:spacing w:after="0" w:line="259" w:lineRule="auto"/>
      <w:ind w:left="0" w:right="4" w:firstLine="0"/>
      <w:jc w:val="right"/>
    </w:pPr>
    <w:r>
      <w:t xml:space="preserve">VERSION 1 – 31 OKTOBER 2019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5A"/>
    <w:rsid w:val="00016DA1"/>
    <w:rsid w:val="000363B1"/>
    <w:rsid w:val="000654F0"/>
    <w:rsid w:val="000A074C"/>
    <w:rsid w:val="000C70B4"/>
    <w:rsid w:val="000E7B83"/>
    <w:rsid w:val="000F2D82"/>
    <w:rsid w:val="0011154C"/>
    <w:rsid w:val="00112A27"/>
    <w:rsid w:val="00125527"/>
    <w:rsid w:val="00126436"/>
    <w:rsid w:val="0016124E"/>
    <w:rsid w:val="0016334D"/>
    <w:rsid w:val="00183611"/>
    <w:rsid w:val="0018435B"/>
    <w:rsid w:val="001B5D5A"/>
    <w:rsid w:val="001C6DA5"/>
    <w:rsid w:val="001D1C07"/>
    <w:rsid w:val="001E2338"/>
    <w:rsid w:val="001E2DAD"/>
    <w:rsid w:val="00235068"/>
    <w:rsid w:val="00243E27"/>
    <w:rsid w:val="002708E0"/>
    <w:rsid w:val="00274C29"/>
    <w:rsid w:val="00277287"/>
    <w:rsid w:val="00285393"/>
    <w:rsid w:val="002A2E5F"/>
    <w:rsid w:val="002B7ED8"/>
    <w:rsid w:val="002B7F72"/>
    <w:rsid w:val="002E3E08"/>
    <w:rsid w:val="003050F4"/>
    <w:rsid w:val="00316B39"/>
    <w:rsid w:val="003263D9"/>
    <w:rsid w:val="003310F4"/>
    <w:rsid w:val="00334BA7"/>
    <w:rsid w:val="003610B9"/>
    <w:rsid w:val="00371393"/>
    <w:rsid w:val="00395449"/>
    <w:rsid w:val="00396358"/>
    <w:rsid w:val="003B650E"/>
    <w:rsid w:val="003E2F0E"/>
    <w:rsid w:val="004338EA"/>
    <w:rsid w:val="004340B8"/>
    <w:rsid w:val="00443908"/>
    <w:rsid w:val="004669DD"/>
    <w:rsid w:val="00491CF6"/>
    <w:rsid w:val="004A298A"/>
    <w:rsid w:val="004A4B1E"/>
    <w:rsid w:val="004D26E4"/>
    <w:rsid w:val="004E0B4E"/>
    <w:rsid w:val="004E2201"/>
    <w:rsid w:val="004F5044"/>
    <w:rsid w:val="005040BF"/>
    <w:rsid w:val="00513441"/>
    <w:rsid w:val="00532175"/>
    <w:rsid w:val="005559C2"/>
    <w:rsid w:val="0057190B"/>
    <w:rsid w:val="00584F41"/>
    <w:rsid w:val="005904D7"/>
    <w:rsid w:val="00594F52"/>
    <w:rsid w:val="005A355A"/>
    <w:rsid w:val="005D7AE3"/>
    <w:rsid w:val="006134FF"/>
    <w:rsid w:val="00620675"/>
    <w:rsid w:val="00621597"/>
    <w:rsid w:val="0062678B"/>
    <w:rsid w:val="00633C31"/>
    <w:rsid w:val="00662969"/>
    <w:rsid w:val="00675C34"/>
    <w:rsid w:val="006B49CF"/>
    <w:rsid w:val="006D4B7A"/>
    <w:rsid w:val="0070361A"/>
    <w:rsid w:val="00713620"/>
    <w:rsid w:val="007145A1"/>
    <w:rsid w:val="00744F05"/>
    <w:rsid w:val="00750BD6"/>
    <w:rsid w:val="00751A92"/>
    <w:rsid w:val="00763251"/>
    <w:rsid w:val="0076614F"/>
    <w:rsid w:val="00780614"/>
    <w:rsid w:val="00786321"/>
    <w:rsid w:val="007A437A"/>
    <w:rsid w:val="007C5643"/>
    <w:rsid w:val="007E628A"/>
    <w:rsid w:val="007F21D2"/>
    <w:rsid w:val="008145B2"/>
    <w:rsid w:val="00824330"/>
    <w:rsid w:val="00846D17"/>
    <w:rsid w:val="008A2C7A"/>
    <w:rsid w:val="008A367A"/>
    <w:rsid w:val="008C3070"/>
    <w:rsid w:val="008C37D1"/>
    <w:rsid w:val="008C6A1D"/>
    <w:rsid w:val="008E31FE"/>
    <w:rsid w:val="008F2D0D"/>
    <w:rsid w:val="008F440A"/>
    <w:rsid w:val="00906FC6"/>
    <w:rsid w:val="00925DBB"/>
    <w:rsid w:val="00942292"/>
    <w:rsid w:val="009634A7"/>
    <w:rsid w:val="00977CE3"/>
    <w:rsid w:val="009931E4"/>
    <w:rsid w:val="00995F3D"/>
    <w:rsid w:val="009A5575"/>
    <w:rsid w:val="009A727B"/>
    <w:rsid w:val="009C37A6"/>
    <w:rsid w:val="009C5F07"/>
    <w:rsid w:val="009F2FDF"/>
    <w:rsid w:val="00A023A4"/>
    <w:rsid w:val="00A143B5"/>
    <w:rsid w:val="00A31FAC"/>
    <w:rsid w:val="00A36832"/>
    <w:rsid w:val="00A44F82"/>
    <w:rsid w:val="00A4717E"/>
    <w:rsid w:val="00A64D0B"/>
    <w:rsid w:val="00AA28CA"/>
    <w:rsid w:val="00AD011D"/>
    <w:rsid w:val="00AE15E7"/>
    <w:rsid w:val="00AF30B6"/>
    <w:rsid w:val="00B048D2"/>
    <w:rsid w:val="00B073AD"/>
    <w:rsid w:val="00B179AA"/>
    <w:rsid w:val="00B24069"/>
    <w:rsid w:val="00B24075"/>
    <w:rsid w:val="00B272DC"/>
    <w:rsid w:val="00B33F7C"/>
    <w:rsid w:val="00B60BC4"/>
    <w:rsid w:val="00B61C95"/>
    <w:rsid w:val="00B84147"/>
    <w:rsid w:val="00B87AB1"/>
    <w:rsid w:val="00BB6750"/>
    <w:rsid w:val="00BD681F"/>
    <w:rsid w:val="00BF484B"/>
    <w:rsid w:val="00BF5F00"/>
    <w:rsid w:val="00C02217"/>
    <w:rsid w:val="00C1416D"/>
    <w:rsid w:val="00C27F56"/>
    <w:rsid w:val="00C537FD"/>
    <w:rsid w:val="00C53F27"/>
    <w:rsid w:val="00C55080"/>
    <w:rsid w:val="00C56144"/>
    <w:rsid w:val="00C71D8C"/>
    <w:rsid w:val="00CA28EE"/>
    <w:rsid w:val="00CB73CA"/>
    <w:rsid w:val="00CF15F2"/>
    <w:rsid w:val="00D23E4C"/>
    <w:rsid w:val="00D52865"/>
    <w:rsid w:val="00D53FDE"/>
    <w:rsid w:val="00D553E3"/>
    <w:rsid w:val="00D62738"/>
    <w:rsid w:val="00D77F38"/>
    <w:rsid w:val="00D926C5"/>
    <w:rsid w:val="00DD4FCB"/>
    <w:rsid w:val="00DE05E6"/>
    <w:rsid w:val="00DF3123"/>
    <w:rsid w:val="00E0461E"/>
    <w:rsid w:val="00E1775B"/>
    <w:rsid w:val="00E30C93"/>
    <w:rsid w:val="00E637AA"/>
    <w:rsid w:val="00E668F0"/>
    <w:rsid w:val="00E97400"/>
    <w:rsid w:val="00EA50D8"/>
    <w:rsid w:val="00EA6957"/>
    <w:rsid w:val="00EF66C9"/>
    <w:rsid w:val="00F1454F"/>
    <w:rsid w:val="00F2316D"/>
    <w:rsid w:val="00F47129"/>
    <w:rsid w:val="00F53716"/>
    <w:rsid w:val="00F54C34"/>
    <w:rsid w:val="00F7223F"/>
    <w:rsid w:val="00F77705"/>
    <w:rsid w:val="00F82BFF"/>
    <w:rsid w:val="00F95AB2"/>
    <w:rsid w:val="00FA0624"/>
    <w:rsid w:val="00FA59E9"/>
    <w:rsid w:val="00FB4071"/>
    <w:rsid w:val="00FC21B0"/>
    <w:rsid w:val="00FD2BA9"/>
    <w:rsid w:val="00FE2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ADF42"/>
  <w15:docId w15:val="{F12B1C3A-0473-4434-8057-3966D76C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0" w:right="3" w:hanging="10"/>
      <w:jc w:val="both"/>
    </w:pPr>
    <w:rPr>
      <w:rFonts w:ascii="Calibri" w:eastAsia="Calibri" w:hAnsi="Calibri" w:cs="Calibri"/>
      <w:color w:val="000000"/>
    </w:rPr>
  </w:style>
  <w:style w:type="paragraph" w:styleId="Rubrik1">
    <w:name w:val="heading 1"/>
    <w:next w:val="Normal"/>
    <w:link w:val="Rubrik1Char"/>
    <w:uiPriority w:val="9"/>
    <w:qFormat/>
    <w:pPr>
      <w:keepNext/>
      <w:keepLines/>
      <w:spacing w:after="216"/>
      <w:ind w:left="10" w:hanging="10"/>
      <w:outlineLvl w:val="0"/>
    </w:pPr>
    <w:rPr>
      <w:rFonts w:ascii="Calibri" w:eastAsia="Calibri" w:hAnsi="Calibri" w:cs="Calibri"/>
      <w: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i/>
      <w:color w:val="000000"/>
      <w:sz w:val="22"/>
    </w:rPr>
  </w:style>
  <w:style w:type="paragraph" w:customStyle="1" w:styleId="footnotedescription">
    <w:name w:val="footnote description"/>
    <w:next w:val="Normal"/>
    <w:link w:val="footnotedescriptionChar"/>
    <w:hidden/>
    <w:pPr>
      <w:spacing w:after="0" w:line="247" w:lineRule="auto"/>
      <w:ind w:right="4"/>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Sidfot">
    <w:name w:val="footer"/>
    <w:basedOn w:val="Normal"/>
    <w:link w:val="SidfotChar"/>
    <w:uiPriority w:val="99"/>
    <w:unhideWhenUsed/>
    <w:rsid w:val="008F440A"/>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8F440A"/>
    <w:rPr>
      <w:rFonts w:ascii="Calibri" w:eastAsia="Calibri" w:hAnsi="Calibri" w:cs="Calibri"/>
      <w:color w:val="000000"/>
    </w:rPr>
  </w:style>
  <w:style w:type="paragraph" w:styleId="Ballongtext">
    <w:name w:val="Balloon Text"/>
    <w:basedOn w:val="Normal"/>
    <w:link w:val="BallongtextChar"/>
    <w:uiPriority w:val="99"/>
    <w:semiHidden/>
    <w:unhideWhenUsed/>
    <w:rsid w:val="00D6273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62738"/>
    <w:rPr>
      <w:rFonts w:ascii="Segoe UI" w:eastAsia="Calibri" w:hAnsi="Segoe UI" w:cs="Segoe UI"/>
      <w:color w:val="000000"/>
      <w:sz w:val="18"/>
      <w:szCs w:val="18"/>
    </w:rPr>
  </w:style>
  <w:style w:type="character" w:styleId="Kommentarsreferens">
    <w:name w:val="annotation reference"/>
    <w:basedOn w:val="Standardstycketeckensnitt"/>
    <w:uiPriority w:val="99"/>
    <w:semiHidden/>
    <w:unhideWhenUsed/>
    <w:rsid w:val="00A44F82"/>
    <w:rPr>
      <w:sz w:val="16"/>
      <w:szCs w:val="16"/>
    </w:rPr>
  </w:style>
  <w:style w:type="paragraph" w:styleId="Kommentarer">
    <w:name w:val="annotation text"/>
    <w:basedOn w:val="Normal"/>
    <w:link w:val="KommentarerChar"/>
    <w:uiPriority w:val="99"/>
    <w:semiHidden/>
    <w:unhideWhenUsed/>
    <w:rsid w:val="00A44F82"/>
    <w:pPr>
      <w:spacing w:line="240" w:lineRule="auto"/>
    </w:pPr>
    <w:rPr>
      <w:sz w:val="20"/>
      <w:szCs w:val="20"/>
    </w:rPr>
  </w:style>
  <w:style w:type="character" w:customStyle="1" w:styleId="KommentarerChar">
    <w:name w:val="Kommentarer Char"/>
    <w:basedOn w:val="Standardstycketeckensnitt"/>
    <w:link w:val="Kommentarer"/>
    <w:uiPriority w:val="99"/>
    <w:semiHidden/>
    <w:rsid w:val="00A44F82"/>
    <w:rPr>
      <w:rFonts w:ascii="Calibri" w:eastAsia="Calibri" w:hAnsi="Calibri" w:cs="Calibri"/>
      <w:color w:val="000000"/>
      <w:sz w:val="20"/>
      <w:szCs w:val="20"/>
    </w:rPr>
  </w:style>
  <w:style w:type="paragraph" w:styleId="Kommentarsmne">
    <w:name w:val="annotation subject"/>
    <w:basedOn w:val="Kommentarer"/>
    <w:next w:val="Kommentarer"/>
    <w:link w:val="KommentarsmneChar"/>
    <w:uiPriority w:val="99"/>
    <w:semiHidden/>
    <w:unhideWhenUsed/>
    <w:rsid w:val="00A44F82"/>
    <w:rPr>
      <w:b/>
      <w:bCs/>
    </w:rPr>
  </w:style>
  <w:style w:type="character" w:customStyle="1" w:styleId="KommentarsmneChar">
    <w:name w:val="Kommentarsämne Char"/>
    <w:basedOn w:val="KommentarerChar"/>
    <w:link w:val="Kommentarsmne"/>
    <w:uiPriority w:val="99"/>
    <w:semiHidden/>
    <w:rsid w:val="00A44F82"/>
    <w:rPr>
      <w:rFonts w:ascii="Calibri" w:eastAsia="Calibri" w:hAnsi="Calibri" w:cs="Calibri"/>
      <w:b/>
      <w:bCs/>
      <w:color w:val="000000"/>
      <w:sz w:val="20"/>
      <w:szCs w:val="20"/>
    </w:rPr>
  </w:style>
  <w:style w:type="paragraph" w:styleId="Sidhuvud">
    <w:name w:val="header"/>
    <w:basedOn w:val="Normal"/>
    <w:link w:val="SidhuvudChar"/>
    <w:uiPriority w:val="99"/>
    <w:unhideWhenUsed/>
    <w:rsid w:val="00F53716"/>
    <w:pPr>
      <w:tabs>
        <w:tab w:val="center" w:pos="4536"/>
        <w:tab w:val="right" w:pos="9072"/>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SidhuvudChar">
    <w:name w:val="Sidhuvud Char"/>
    <w:basedOn w:val="Standardstycketeckensnitt"/>
    <w:link w:val="Sidhuvud"/>
    <w:uiPriority w:val="99"/>
    <w:rsid w:val="00F53716"/>
    <w:rPr>
      <w:rFonts w:eastAsiaTheme="minorHAnsi"/>
      <w:lang w:eastAsia="en-US"/>
    </w:rPr>
  </w:style>
  <w:style w:type="paragraph" w:styleId="Rubrik">
    <w:name w:val="Title"/>
    <w:basedOn w:val="Normal"/>
    <w:next w:val="Normal"/>
    <w:link w:val="RubrikChar"/>
    <w:uiPriority w:val="1"/>
    <w:qFormat/>
    <w:rsid w:val="00F53716"/>
    <w:pPr>
      <w:autoSpaceDE w:val="0"/>
      <w:autoSpaceDN w:val="0"/>
      <w:adjustRightInd w:val="0"/>
      <w:spacing w:after="0" w:line="240" w:lineRule="auto"/>
      <w:ind w:left="118" w:right="0" w:firstLine="0"/>
      <w:jc w:val="left"/>
    </w:pPr>
    <w:rPr>
      <w:rFonts w:ascii="Times New Roman" w:eastAsiaTheme="minorHAnsi" w:hAnsi="Times New Roman" w:cs="Times New Roman"/>
      <w:b/>
      <w:bCs/>
      <w:i/>
      <w:iCs/>
      <w:color w:val="auto"/>
      <w:sz w:val="24"/>
      <w:szCs w:val="24"/>
      <w:lang w:eastAsia="en-US"/>
    </w:rPr>
  </w:style>
  <w:style w:type="character" w:customStyle="1" w:styleId="RubrikChar">
    <w:name w:val="Rubrik Char"/>
    <w:basedOn w:val="Standardstycketeckensnitt"/>
    <w:link w:val="Rubrik"/>
    <w:uiPriority w:val="1"/>
    <w:rsid w:val="00F53716"/>
    <w:rPr>
      <w:rFonts w:ascii="Times New Roman" w:eastAsiaTheme="minorHAnsi" w:hAnsi="Times New Roman" w:cs="Times New Roman"/>
      <w:b/>
      <w:bCs/>
      <w:i/>
      <w:iCs/>
      <w:sz w:val="24"/>
      <w:szCs w:val="24"/>
      <w:lang w:eastAsia="en-US"/>
    </w:rPr>
  </w:style>
  <w:style w:type="paragraph" w:customStyle="1" w:styleId="Collectorbrdtext">
    <w:name w:val="Collector_brödtext"/>
    <w:basedOn w:val="Normal"/>
    <w:autoRedefine/>
    <w:qFormat/>
    <w:rsid w:val="00942292"/>
    <w:pPr>
      <w:widowControl w:val="0"/>
      <w:autoSpaceDE w:val="0"/>
      <w:autoSpaceDN w:val="0"/>
      <w:adjustRightInd w:val="0"/>
      <w:spacing w:after="0" w:line="276" w:lineRule="auto"/>
      <w:ind w:left="0" w:right="0" w:firstLine="0"/>
      <w:jc w:val="left"/>
      <w:textAlignment w:val="center"/>
    </w:pPr>
    <w:rPr>
      <w:rFonts w:ascii="Arial" w:eastAsia="MS Mincho" w:hAnsi="Arial"/>
      <w:sz w:val="20"/>
      <w:szCs w:val="14"/>
    </w:rPr>
  </w:style>
  <w:style w:type="paragraph" w:customStyle="1" w:styleId="SidfotCollector">
    <w:name w:val="Sidfot Collector"/>
    <w:qFormat/>
    <w:rsid w:val="00942292"/>
    <w:pPr>
      <w:spacing w:after="0" w:line="240" w:lineRule="auto"/>
      <w:jc w:val="center"/>
    </w:pPr>
    <w:rPr>
      <w:rFonts w:ascii="Arial" w:eastAsia="MS Mincho" w:hAnsi="Arial" w:cs="Calibri"/>
      <w:color w:val="000000"/>
      <w:sz w:val="14"/>
      <w:szCs w:val="14"/>
    </w:rPr>
  </w:style>
  <w:style w:type="paragraph" w:styleId="Revision">
    <w:name w:val="Revision"/>
    <w:hidden/>
    <w:uiPriority w:val="99"/>
    <w:semiHidden/>
    <w:rsid w:val="0039635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071C-1C79-448F-8B0D-EF09AFB219D2}">
  <ds:schemaRefs>
    <ds:schemaRef ds:uri="http://schemas.openxmlformats.org/officeDocument/2006/bibliography"/>
  </ds:schemaRefs>
</ds:datastoreItem>
</file>

<file path=docMetadata/LabelInfo.xml><?xml version="1.0" encoding="utf-8"?>
<clbl:labelList xmlns:clbl="http://schemas.microsoft.com/office/2020/mipLabelMetadata">
  <clbl:label id="{5abc4796-ffdd-48f7-8a87-6fa01490b0c2}" enabled="1" method="Standard" siteId="{f6133d6e-20c4-4c25-b024-3ac43c9d5bcb}"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1719</Words>
  <Characters>9115</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Eriksson</dc:creator>
  <cp:keywords/>
  <cp:lastModifiedBy>Josefin Eriksson</cp:lastModifiedBy>
  <cp:revision>11</cp:revision>
  <dcterms:created xsi:type="dcterms:W3CDTF">2026-03-19T10:42:00Z</dcterms:created>
  <dcterms:modified xsi:type="dcterms:W3CDTF">2026-03-20T09:51:00Z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358b0c3,49d25fba,8776cbd</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 Internal</vt:lpwstr>
  </property>
</Properties>
</file>